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42" w:rsidRDefault="000A1FF6" w:rsidP="00030642">
      <w:pPr>
        <w:pStyle w:val="Default"/>
        <w:rPr>
          <w:b/>
          <w:bCs/>
          <w:sz w:val="23"/>
          <w:szCs w:val="23"/>
        </w:rPr>
      </w:pPr>
      <w:r>
        <w:rPr>
          <w:b/>
          <w:bCs/>
          <w:noProof/>
          <w:sz w:val="23"/>
          <w:szCs w:val="23"/>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3.75pt;margin-top:-18.5pt;width:87.75pt;height:39.5pt;z-index:251660288" fillcolor="black">
            <v:shadow color="#868686"/>
            <v:textpath style="font-family:&quot;Comic Sans MS&quot;;v-text-kern:t" trim="t" fitpath="t" xscale="f" string="Learn to fly"/>
          </v:shape>
        </w:pict>
      </w:r>
      <w:r w:rsidR="00B07728" w:rsidRPr="00B07728">
        <w:rPr>
          <w:b/>
          <w:bCs/>
          <w:noProof/>
          <w:sz w:val="23"/>
          <w:szCs w:val="23"/>
        </w:rPr>
        <w:drawing>
          <wp:anchor distT="0" distB="0" distL="114300" distR="114300" simplePos="0" relativeHeight="251659264" behindDoc="0" locked="0" layoutInCell="1" allowOverlap="1">
            <wp:simplePos x="0" y="0"/>
            <wp:positionH relativeFrom="column">
              <wp:posOffset>38100</wp:posOffset>
            </wp:positionH>
            <wp:positionV relativeFrom="paragraph">
              <wp:posOffset>-527050</wp:posOffset>
            </wp:positionV>
            <wp:extent cx="527050" cy="527050"/>
            <wp:effectExtent l="1905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527050"/>
                    </a:xfrm>
                    <a:prstGeom prst="rect">
                      <a:avLst/>
                    </a:prstGeom>
                    <a:noFill/>
                  </pic:spPr>
                </pic:pic>
              </a:graphicData>
            </a:graphic>
          </wp:anchor>
        </w:drawing>
      </w:r>
    </w:p>
    <w:p w:rsidR="00927AA0" w:rsidRDefault="00927AA0" w:rsidP="00927AA0">
      <w:pPr>
        <w:pStyle w:val="Default"/>
        <w:rPr>
          <w:b/>
          <w:bCs/>
          <w:sz w:val="36"/>
          <w:szCs w:val="36"/>
        </w:rPr>
      </w:pPr>
    </w:p>
    <w:p w:rsidR="00030642" w:rsidRDefault="00030642" w:rsidP="00927AA0">
      <w:pPr>
        <w:pStyle w:val="Default"/>
        <w:rPr>
          <w:b/>
          <w:bCs/>
          <w:sz w:val="36"/>
          <w:szCs w:val="36"/>
        </w:rPr>
      </w:pPr>
      <w:r w:rsidRPr="00927AA0">
        <w:rPr>
          <w:b/>
          <w:bCs/>
          <w:sz w:val="36"/>
          <w:szCs w:val="36"/>
        </w:rPr>
        <w:t xml:space="preserve">Accessibility Plan from </w:t>
      </w:r>
      <w:r w:rsidR="00B07728">
        <w:rPr>
          <w:b/>
          <w:bCs/>
          <w:sz w:val="36"/>
          <w:szCs w:val="36"/>
        </w:rPr>
        <w:t>March 2018 - 2021</w:t>
      </w:r>
    </w:p>
    <w:p w:rsidR="00B708E9" w:rsidRPr="00927AA0" w:rsidRDefault="00B708E9" w:rsidP="00927AA0">
      <w:pPr>
        <w:pStyle w:val="Default"/>
        <w:rPr>
          <w:b/>
          <w:bCs/>
          <w:sz w:val="36"/>
          <w:szCs w:val="36"/>
        </w:rPr>
      </w:pPr>
    </w:p>
    <w:tbl>
      <w:tblPr>
        <w:tblStyle w:val="TableGrid"/>
        <w:tblW w:w="0" w:type="auto"/>
        <w:tblLook w:val="04A0"/>
      </w:tblPr>
      <w:tblGrid>
        <w:gridCol w:w="3227"/>
        <w:gridCol w:w="3118"/>
        <w:gridCol w:w="1985"/>
        <w:gridCol w:w="1701"/>
        <w:gridCol w:w="1780"/>
        <w:gridCol w:w="2363"/>
      </w:tblGrid>
      <w:tr w:rsidR="00927AA0" w:rsidTr="00B708E9">
        <w:tc>
          <w:tcPr>
            <w:tcW w:w="14174" w:type="dxa"/>
            <w:gridSpan w:val="6"/>
            <w:shd w:val="clear" w:color="auto" w:fill="BFBFBF" w:themeFill="background1" w:themeFillShade="BF"/>
          </w:tcPr>
          <w:p w:rsidR="00927AA0" w:rsidRPr="00B708E9" w:rsidRDefault="00927AA0" w:rsidP="00927AA0">
            <w:pPr>
              <w:pStyle w:val="Default"/>
              <w:jc w:val="center"/>
              <w:rPr>
                <w:b/>
                <w:sz w:val="40"/>
                <w:szCs w:val="40"/>
              </w:rPr>
            </w:pPr>
            <w:r w:rsidRPr="00B708E9">
              <w:rPr>
                <w:b/>
                <w:sz w:val="40"/>
                <w:szCs w:val="40"/>
              </w:rPr>
              <w:t>Curriculum</w:t>
            </w:r>
          </w:p>
          <w:p w:rsidR="00927AA0" w:rsidRDefault="00927AA0" w:rsidP="00030642">
            <w:pPr>
              <w:pStyle w:val="Default"/>
              <w:rPr>
                <w:sz w:val="23"/>
                <w:szCs w:val="23"/>
              </w:rPr>
            </w:pPr>
          </w:p>
        </w:tc>
      </w:tr>
      <w:tr w:rsidR="00927AA0" w:rsidTr="00927AA0">
        <w:tc>
          <w:tcPr>
            <w:tcW w:w="3227" w:type="dxa"/>
          </w:tcPr>
          <w:p w:rsidR="00030642" w:rsidRPr="00B708E9" w:rsidRDefault="00030642" w:rsidP="00030642">
            <w:pPr>
              <w:pStyle w:val="Default"/>
              <w:rPr>
                <w:b/>
                <w:sz w:val="23"/>
                <w:szCs w:val="23"/>
              </w:rPr>
            </w:pPr>
            <w:r w:rsidRPr="00B708E9">
              <w:rPr>
                <w:b/>
                <w:sz w:val="23"/>
                <w:szCs w:val="23"/>
              </w:rPr>
              <w:t>Priority</w:t>
            </w:r>
          </w:p>
        </w:tc>
        <w:tc>
          <w:tcPr>
            <w:tcW w:w="3118" w:type="dxa"/>
          </w:tcPr>
          <w:p w:rsidR="00030642" w:rsidRPr="00B708E9" w:rsidRDefault="00030642" w:rsidP="00030642">
            <w:pPr>
              <w:pStyle w:val="Default"/>
              <w:rPr>
                <w:b/>
                <w:sz w:val="23"/>
                <w:szCs w:val="23"/>
              </w:rPr>
            </w:pPr>
            <w:r w:rsidRPr="00B708E9">
              <w:rPr>
                <w:b/>
                <w:sz w:val="23"/>
                <w:szCs w:val="23"/>
              </w:rPr>
              <w:t>Action</w:t>
            </w:r>
          </w:p>
        </w:tc>
        <w:tc>
          <w:tcPr>
            <w:tcW w:w="1985" w:type="dxa"/>
          </w:tcPr>
          <w:p w:rsidR="00030642" w:rsidRPr="00B708E9" w:rsidRDefault="00030642" w:rsidP="00030642">
            <w:pPr>
              <w:pStyle w:val="Default"/>
              <w:rPr>
                <w:b/>
                <w:sz w:val="23"/>
                <w:szCs w:val="23"/>
              </w:rPr>
            </w:pPr>
            <w:r w:rsidRPr="00B708E9">
              <w:rPr>
                <w:b/>
                <w:sz w:val="23"/>
                <w:szCs w:val="23"/>
              </w:rPr>
              <w:t>Timescales</w:t>
            </w:r>
          </w:p>
        </w:tc>
        <w:tc>
          <w:tcPr>
            <w:tcW w:w="1701" w:type="dxa"/>
          </w:tcPr>
          <w:p w:rsidR="00030642" w:rsidRPr="00B708E9" w:rsidRDefault="00030642" w:rsidP="00030642">
            <w:pPr>
              <w:pStyle w:val="Default"/>
              <w:rPr>
                <w:b/>
                <w:sz w:val="23"/>
                <w:szCs w:val="23"/>
              </w:rPr>
            </w:pPr>
            <w:r w:rsidRPr="00B708E9">
              <w:rPr>
                <w:b/>
                <w:sz w:val="23"/>
                <w:szCs w:val="23"/>
              </w:rPr>
              <w:t>Resources</w:t>
            </w:r>
          </w:p>
        </w:tc>
        <w:tc>
          <w:tcPr>
            <w:tcW w:w="1780" w:type="dxa"/>
          </w:tcPr>
          <w:p w:rsidR="00030642" w:rsidRPr="00B708E9" w:rsidRDefault="00030642" w:rsidP="00030642">
            <w:pPr>
              <w:pStyle w:val="Default"/>
              <w:rPr>
                <w:b/>
                <w:sz w:val="23"/>
                <w:szCs w:val="23"/>
              </w:rPr>
            </w:pPr>
            <w:r w:rsidRPr="00B708E9">
              <w:rPr>
                <w:b/>
                <w:sz w:val="23"/>
                <w:szCs w:val="23"/>
              </w:rPr>
              <w:t>Responsibility</w:t>
            </w:r>
          </w:p>
        </w:tc>
        <w:tc>
          <w:tcPr>
            <w:tcW w:w="2363" w:type="dxa"/>
          </w:tcPr>
          <w:p w:rsidR="00030642" w:rsidRPr="00B708E9" w:rsidRDefault="00030642" w:rsidP="00030642">
            <w:pPr>
              <w:pStyle w:val="Default"/>
              <w:rPr>
                <w:b/>
                <w:sz w:val="23"/>
                <w:szCs w:val="23"/>
              </w:rPr>
            </w:pPr>
            <w:r w:rsidRPr="00B708E9">
              <w:rPr>
                <w:b/>
                <w:sz w:val="23"/>
                <w:szCs w:val="23"/>
              </w:rPr>
              <w:t>Monitoring and Evaluation</w:t>
            </w:r>
          </w:p>
        </w:tc>
      </w:tr>
      <w:tr w:rsidR="00927AA0" w:rsidTr="00927AA0">
        <w:tc>
          <w:tcPr>
            <w:tcW w:w="3227" w:type="dxa"/>
          </w:tcPr>
          <w:p w:rsidR="00030642" w:rsidRPr="00565D8E" w:rsidRDefault="005821AF" w:rsidP="00030642">
            <w:pPr>
              <w:pStyle w:val="Default"/>
              <w:rPr>
                <w:rFonts w:asciiTheme="minorHAnsi" w:hAnsiTheme="minorHAnsi" w:cs="CIDFont+F1"/>
              </w:rPr>
            </w:pPr>
            <w:r w:rsidRPr="00565D8E">
              <w:rPr>
                <w:rFonts w:asciiTheme="minorHAnsi" w:hAnsiTheme="minorHAnsi" w:cs="CIDFont+F1"/>
              </w:rPr>
              <w:t>Continue to develop</w:t>
            </w:r>
            <w:r w:rsidR="00030642" w:rsidRPr="00565D8E">
              <w:rPr>
                <w:rFonts w:asciiTheme="minorHAnsi" w:hAnsiTheme="minorHAnsi" w:cs="CIDFont+F1"/>
              </w:rPr>
              <w:t xml:space="preserve"> reso</w:t>
            </w:r>
            <w:r w:rsidRPr="00565D8E">
              <w:rPr>
                <w:rFonts w:asciiTheme="minorHAnsi" w:hAnsiTheme="minorHAnsi" w:cs="CIDFont+F1"/>
              </w:rPr>
              <w:t xml:space="preserve">urces, expertise and </w:t>
            </w:r>
            <w:r w:rsidR="00030642" w:rsidRPr="00565D8E">
              <w:rPr>
                <w:rFonts w:asciiTheme="minorHAnsi" w:hAnsiTheme="minorHAnsi" w:cs="CIDFont+F1"/>
              </w:rPr>
              <w:t>support networks for staff (including occupational therapists, educational psychologist, physiotherapists, sensory support service)</w:t>
            </w:r>
          </w:p>
          <w:p w:rsidR="00927AA0" w:rsidRPr="00565D8E" w:rsidRDefault="00927AA0" w:rsidP="00030642">
            <w:pPr>
              <w:pStyle w:val="Default"/>
              <w:rPr>
                <w:rFonts w:asciiTheme="minorHAnsi" w:hAnsiTheme="minorHAnsi"/>
              </w:rPr>
            </w:pPr>
          </w:p>
        </w:tc>
        <w:tc>
          <w:tcPr>
            <w:tcW w:w="3118" w:type="dxa"/>
          </w:tcPr>
          <w:p w:rsidR="00030642" w:rsidRPr="00565D8E" w:rsidRDefault="005821AF" w:rsidP="00030642">
            <w:pPr>
              <w:pStyle w:val="Default"/>
              <w:rPr>
                <w:rFonts w:asciiTheme="minorHAnsi" w:hAnsiTheme="minorHAnsi"/>
              </w:rPr>
            </w:pPr>
            <w:r w:rsidRPr="00565D8E">
              <w:rPr>
                <w:rFonts w:asciiTheme="minorHAnsi" w:hAnsiTheme="minorHAnsi"/>
              </w:rPr>
              <w:t>Continue to use SLA services for staff CPD. Continue to develop links with other environments (e.g. SEND2Learn; Coquet SENCo partnership</w:t>
            </w:r>
            <w:r w:rsidR="00063657">
              <w:rPr>
                <w:rFonts w:asciiTheme="minorHAnsi" w:hAnsiTheme="minorHAnsi"/>
              </w:rPr>
              <w:t>, NCC annual conference</w:t>
            </w:r>
            <w:r w:rsidRPr="00565D8E">
              <w:rPr>
                <w:rFonts w:asciiTheme="minorHAnsi" w:hAnsiTheme="minorHAnsi"/>
              </w:rPr>
              <w:t>) to share best practise.</w:t>
            </w:r>
          </w:p>
        </w:tc>
        <w:tc>
          <w:tcPr>
            <w:tcW w:w="1985" w:type="dxa"/>
          </w:tcPr>
          <w:p w:rsidR="00030642" w:rsidRPr="00565D8E" w:rsidRDefault="00063657" w:rsidP="00030642">
            <w:pPr>
              <w:pStyle w:val="Default"/>
              <w:rPr>
                <w:rFonts w:asciiTheme="minorHAnsi" w:hAnsiTheme="minorHAnsi"/>
              </w:rPr>
            </w:pPr>
            <w:r>
              <w:rPr>
                <w:rFonts w:asciiTheme="minorHAnsi" w:hAnsiTheme="minorHAnsi"/>
              </w:rPr>
              <w:t>Spring 2018</w:t>
            </w:r>
            <w:r w:rsidR="005821AF" w:rsidRPr="00565D8E">
              <w:rPr>
                <w:rFonts w:asciiTheme="minorHAnsi" w:hAnsiTheme="minorHAnsi"/>
              </w:rPr>
              <w:t xml:space="preserve"> onwards</w:t>
            </w:r>
          </w:p>
        </w:tc>
        <w:tc>
          <w:tcPr>
            <w:tcW w:w="1701" w:type="dxa"/>
          </w:tcPr>
          <w:p w:rsidR="00030642" w:rsidRPr="00565D8E" w:rsidRDefault="00030642" w:rsidP="00030642">
            <w:pPr>
              <w:pStyle w:val="Default"/>
              <w:rPr>
                <w:rFonts w:asciiTheme="minorHAnsi" w:hAnsiTheme="minorHAnsi"/>
              </w:rPr>
            </w:pPr>
          </w:p>
        </w:tc>
        <w:tc>
          <w:tcPr>
            <w:tcW w:w="1780" w:type="dxa"/>
          </w:tcPr>
          <w:p w:rsidR="00030642" w:rsidRDefault="005821AF" w:rsidP="00565D8E">
            <w:pPr>
              <w:pStyle w:val="Default"/>
              <w:rPr>
                <w:rFonts w:asciiTheme="minorHAnsi" w:hAnsiTheme="minorHAnsi"/>
              </w:rPr>
            </w:pPr>
            <w:r w:rsidRPr="00565D8E">
              <w:rPr>
                <w:rFonts w:asciiTheme="minorHAnsi" w:hAnsiTheme="minorHAnsi"/>
              </w:rPr>
              <w:t>SEN</w:t>
            </w:r>
            <w:r w:rsidR="00565D8E">
              <w:rPr>
                <w:rFonts w:asciiTheme="minorHAnsi" w:hAnsiTheme="minorHAnsi"/>
              </w:rPr>
              <w:t>Co</w:t>
            </w:r>
          </w:p>
          <w:p w:rsidR="00565D8E" w:rsidRPr="00565D8E" w:rsidRDefault="00565D8E" w:rsidP="00565D8E">
            <w:pPr>
              <w:pStyle w:val="Default"/>
              <w:rPr>
                <w:rFonts w:asciiTheme="minorHAnsi" w:hAnsiTheme="minorHAnsi"/>
              </w:rPr>
            </w:pPr>
            <w:r>
              <w:rPr>
                <w:rFonts w:asciiTheme="minorHAnsi" w:hAnsiTheme="minorHAnsi"/>
              </w:rPr>
              <w:t>(Special Education Need and Disabilities Coordinator)</w:t>
            </w:r>
          </w:p>
        </w:tc>
        <w:tc>
          <w:tcPr>
            <w:tcW w:w="2363" w:type="dxa"/>
          </w:tcPr>
          <w:p w:rsidR="00030642" w:rsidRPr="00565D8E" w:rsidRDefault="005821AF" w:rsidP="00030642">
            <w:pPr>
              <w:pStyle w:val="Default"/>
              <w:rPr>
                <w:rFonts w:asciiTheme="minorHAnsi" w:hAnsiTheme="minorHAnsi"/>
              </w:rPr>
            </w:pPr>
            <w:r w:rsidRPr="00565D8E">
              <w:rPr>
                <w:rFonts w:asciiTheme="minorHAnsi" w:hAnsiTheme="minorHAnsi"/>
              </w:rPr>
              <w:t>CPD records; staff survey</w:t>
            </w:r>
          </w:p>
        </w:tc>
      </w:tr>
      <w:tr w:rsidR="00927AA0" w:rsidTr="00927AA0">
        <w:tc>
          <w:tcPr>
            <w:tcW w:w="3227" w:type="dxa"/>
          </w:tcPr>
          <w:p w:rsidR="00030642" w:rsidRDefault="00063657" w:rsidP="00B708E9">
            <w:pPr>
              <w:pStyle w:val="Default"/>
              <w:rPr>
                <w:rFonts w:asciiTheme="minorHAnsi" w:hAnsiTheme="minorHAnsi"/>
              </w:rPr>
            </w:pPr>
            <w:r>
              <w:rPr>
                <w:rFonts w:asciiTheme="minorHAnsi" w:hAnsiTheme="minorHAnsi"/>
              </w:rPr>
              <w:t>Continue to r</w:t>
            </w:r>
            <w:r w:rsidR="00B708E9" w:rsidRPr="00565D8E">
              <w:rPr>
                <w:rFonts w:asciiTheme="minorHAnsi" w:hAnsiTheme="minorHAnsi"/>
              </w:rPr>
              <w:t>eview the impact of current resources, interventions and provision for SEND to improve access to the national curriculum.</w:t>
            </w:r>
          </w:p>
          <w:p w:rsidR="00565D8E" w:rsidRPr="00565D8E" w:rsidRDefault="00565D8E" w:rsidP="00B708E9">
            <w:pPr>
              <w:pStyle w:val="Default"/>
              <w:rPr>
                <w:rFonts w:asciiTheme="minorHAnsi" w:hAnsiTheme="minorHAnsi"/>
              </w:rPr>
            </w:pPr>
          </w:p>
        </w:tc>
        <w:tc>
          <w:tcPr>
            <w:tcW w:w="3118" w:type="dxa"/>
          </w:tcPr>
          <w:p w:rsidR="00030642" w:rsidRPr="00565D8E" w:rsidRDefault="005821AF" w:rsidP="00B708E9">
            <w:pPr>
              <w:pStyle w:val="Default"/>
              <w:rPr>
                <w:rFonts w:asciiTheme="minorHAnsi" w:hAnsiTheme="minorHAnsi"/>
              </w:rPr>
            </w:pPr>
            <w:r w:rsidRPr="00565D8E">
              <w:rPr>
                <w:rFonts w:asciiTheme="minorHAnsi" w:hAnsiTheme="minorHAnsi"/>
              </w:rPr>
              <w:t>SEND impact review and plan</w:t>
            </w:r>
          </w:p>
        </w:tc>
        <w:tc>
          <w:tcPr>
            <w:tcW w:w="1985" w:type="dxa"/>
          </w:tcPr>
          <w:p w:rsidR="00030642" w:rsidRPr="00565D8E" w:rsidRDefault="00063657" w:rsidP="00030642">
            <w:pPr>
              <w:pStyle w:val="Default"/>
              <w:rPr>
                <w:rFonts w:asciiTheme="minorHAnsi" w:hAnsiTheme="minorHAnsi"/>
              </w:rPr>
            </w:pPr>
            <w:r>
              <w:rPr>
                <w:rFonts w:asciiTheme="minorHAnsi" w:hAnsiTheme="minorHAnsi"/>
              </w:rPr>
              <w:t>Summer term 2019 onwards</w:t>
            </w:r>
          </w:p>
        </w:tc>
        <w:tc>
          <w:tcPr>
            <w:tcW w:w="1701" w:type="dxa"/>
          </w:tcPr>
          <w:p w:rsidR="00030642" w:rsidRPr="00565D8E" w:rsidRDefault="00030642" w:rsidP="00030642">
            <w:pPr>
              <w:pStyle w:val="Default"/>
              <w:rPr>
                <w:rFonts w:asciiTheme="minorHAnsi" w:hAnsiTheme="minorHAnsi"/>
              </w:rPr>
            </w:pPr>
          </w:p>
        </w:tc>
        <w:tc>
          <w:tcPr>
            <w:tcW w:w="1780" w:type="dxa"/>
          </w:tcPr>
          <w:p w:rsidR="003A14FD" w:rsidRPr="00565D8E" w:rsidRDefault="003A14FD" w:rsidP="003A14FD">
            <w:pPr>
              <w:pStyle w:val="Default"/>
              <w:rPr>
                <w:rFonts w:asciiTheme="minorHAnsi" w:hAnsiTheme="minorHAnsi"/>
              </w:rPr>
            </w:pPr>
            <w:r w:rsidRPr="00565D8E">
              <w:rPr>
                <w:rFonts w:asciiTheme="minorHAnsi" w:hAnsiTheme="minorHAnsi"/>
              </w:rPr>
              <w:t xml:space="preserve">HT </w:t>
            </w:r>
          </w:p>
          <w:p w:rsidR="00030642" w:rsidRPr="00565D8E" w:rsidRDefault="005821AF" w:rsidP="00565D8E">
            <w:pPr>
              <w:pStyle w:val="Default"/>
              <w:rPr>
                <w:rFonts w:asciiTheme="minorHAnsi" w:hAnsiTheme="minorHAnsi"/>
              </w:rPr>
            </w:pPr>
            <w:r w:rsidRPr="00565D8E">
              <w:rPr>
                <w:rFonts w:asciiTheme="minorHAnsi" w:hAnsiTheme="minorHAnsi"/>
              </w:rPr>
              <w:t>SEN</w:t>
            </w:r>
            <w:r w:rsidR="00063657">
              <w:rPr>
                <w:rFonts w:asciiTheme="minorHAnsi" w:hAnsiTheme="minorHAnsi"/>
              </w:rPr>
              <w:t>Co</w:t>
            </w:r>
          </w:p>
        </w:tc>
        <w:tc>
          <w:tcPr>
            <w:tcW w:w="2363" w:type="dxa"/>
          </w:tcPr>
          <w:p w:rsidR="00B708E9" w:rsidRPr="00565D8E" w:rsidRDefault="00030642" w:rsidP="005821AF">
            <w:pPr>
              <w:pStyle w:val="Default"/>
              <w:rPr>
                <w:rFonts w:asciiTheme="minorHAnsi" w:hAnsiTheme="minorHAnsi"/>
              </w:rPr>
            </w:pPr>
            <w:r w:rsidRPr="00565D8E">
              <w:rPr>
                <w:rFonts w:asciiTheme="minorHAnsi" w:hAnsiTheme="minorHAnsi"/>
              </w:rPr>
              <w:t xml:space="preserve">SEND </w:t>
            </w:r>
            <w:r w:rsidR="00063657">
              <w:rPr>
                <w:rFonts w:asciiTheme="minorHAnsi" w:hAnsiTheme="minorHAnsi"/>
              </w:rPr>
              <w:t>impact report. 2019-20</w:t>
            </w:r>
            <w:r w:rsidR="005821AF" w:rsidRPr="00565D8E">
              <w:rPr>
                <w:rFonts w:asciiTheme="minorHAnsi" w:hAnsiTheme="minorHAnsi"/>
              </w:rPr>
              <w:t xml:space="preserve"> SDP.</w:t>
            </w:r>
          </w:p>
        </w:tc>
      </w:tr>
      <w:tr w:rsidR="00B708E9" w:rsidTr="00927AA0">
        <w:tc>
          <w:tcPr>
            <w:tcW w:w="3227" w:type="dxa"/>
          </w:tcPr>
          <w:p w:rsidR="00B708E9" w:rsidRDefault="005821AF" w:rsidP="005821AF">
            <w:pPr>
              <w:pStyle w:val="Default"/>
            </w:pPr>
            <w:r w:rsidRPr="00565D8E">
              <w:t>Continue to a</w:t>
            </w:r>
            <w:r w:rsidR="00B708E9" w:rsidRPr="00565D8E">
              <w:t>dapt the curr</w:t>
            </w:r>
            <w:r w:rsidRPr="00565D8E">
              <w:t xml:space="preserve">iculum to meet specific pupils’ </w:t>
            </w:r>
            <w:r w:rsidR="00B708E9" w:rsidRPr="00565D8E">
              <w:t>SEND</w:t>
            </w:r>
            <w:r w:rsidRPr="00565D8E">
              <w:t>.</w:t>
            </w:r>
          </w:p>
          <w:p w:rsidR="00565D8E" w:rsidRPr="00565D8E" w:rsidRDefault="00565D8E" w:rsidP="005821AF">
            <w:pPr>
              <w:pStyle w:val="Default"/>
            </w:pPr>
          </w:p>
        </w:tc>
        <w:tc>
          <w:tcPr>
            <w:tcW w:w="3118" w:type="dxa"/>
          </w:tcPr>
          <w:p w:rsidR="00B708E9" w:rsidRPr="00565D8E" w:rsidRDefault="005821AF" w:rsidP="00C41F6E">
            <w:pPr>
              <w:pStyle w:val="Default"/>
            </w:pPr>
            <w:r w:rsidRPr="00565D8E">
              <w:t>Continue to develop effective interventions. Continue CDP for staff, using SLA resources.</w:t>
            </w:r>
          </w:p>
        </w:tc>
        <w:tc>
          <w:tcPr>
            <w:tcW w:w="1985" w:type="dxa"/>
          </w:tcPr>
          <w:p w:rsidR="00B708E9" w:rsidRPr="00565D8E" w:rsidRDefault="005821AF" w:rsidP="00C41F6E">
            <w:pPr>
              <w:pStyle w:val="Default"/>
            </w:pPr>
            <w:r w:rsidRPr="00565D8E">
              <w:t>Spring 2018 onwards</w:t>
            </w:r>
          </w:p>
        </w:tc>
        <w:tc>
          <w:tcPr>
            <w:tcW w:w="1701" w:type="dxa"/>
          </w:tcPr>
          <w:p w:rsidR="00B708E9" w:rsidRPr="00565D8E" w:rsidRDefault="005821AF" w:rsidP="00C41F6E">
            <w:pPr>
              <w:pStyle w:val="Default"/>
            </w:pPr>
            <w:r w:rsidRPr="00565D8E">
              <w:t>SENCo</w:t>
            </w:r>
          </w:p>
          <w:p w:rsidR="005821AF" w:rsidRPr="00565D8E" w:rsidRDefault="005821AF" w:rsidP="00C41F6E">
            <w:pPr>
              <w:pStyle w:val="Default"/>
            </w:pPr>
            <w:r w:rsidRPr="00565D8E">
              <w:t>SEND SLA</w:t>
            </w:r>
          </w:p>
        </w:tc>
        <w:tc>
          <w:tcPr>
            <w:tcW w:w="1780" w:type="dxa"/>
          </w:tcPr>
          <w:p w:rsidR="00B708E9" w:rsidRPr="00565D8E" w:rsidRDefault="005821AF" w:rsidP="00C41F6E">
            <w:pPr>
              <w:pStyle w:val="Default"/>
            </w:pPr>
            <w:r w:rsidRPr="00565D8E">
              <w:t xml:space="preserve">SENCo </w:t>
            </w:r>
          </w:p>
          <w:p w:rsidR="005821AF" w:rsidRPr="00565D8E" w:rsidRDefault="005821AF" w:rsidP="00C41F6E">
            <w:pPr>
              <w:pStyle w:val="Default"/>
            </w:pPr>
            <w:r w:rsidRPr="00565D8E">
              <w:t>All staff</w:t>
            </w:r>
          </w:p>
        </w:tc>
        <w:tc>
          <w:tcPr>
            <w:tcW w:w="2363" w:type="dxa"/>
          </w:tcPr>
          <w:p w:rsidR="00B708E9" w:rsidRPr="00565D8E" w:rsidRDefault="005821AF" w:rsidP="00C41F6E">
            <w:pPr>
              <w:pStyle w:val="Default"/>
            </w:pPr>
            <w:r w:rsidRPr="00565D8E">
              <w:t>SEND impact report.</w:t>
            </w:r>
          </w:p>
          <w:p w:rsidR="005821AF" w:rsidRPr="00565D8E" w:rsidRDefault="00063657" w:rsidP="00C41F6E">
            <w:pPr>
              <w:pStyle w:val="Default"/>
            </w:pPr>
            <w:r>
              <w:t>2019-20</w:t>
            </w:r>
            <w:r w:rsidR="005821AF" w:rsidRPr="00565D8E">
              <w:t xml:space="preserve"> SDP.</w:t>
            </w:r>
          </w:p>
        </w:tc>
      </w:tr>
    </w:tbl>
    <w:p w:rsidR="00927AA0" w:rsidRDefault="00927AA0"/>
    <w:p w:rsidR="005821AF" w:rsidRDefault="005821AF"/>
    <w:tbl>
      <w:tblPr>
        <w:tblStyle w:val="TableGrid"/>
        <w:tblW w:w="0" w:type="auto"/>
        <w:tblLayout w:type="fixed"/>
        <w:tblLook w:val="04A0"/>
      </w:tblPr>
      <w:tblGrid>
        <w:gridCol w:w="3227"/>
        <w:gridCol w:w="3118"/>
        <w:gridCol w:w="1985"/>
        <w:gridCol w:w="1701"/>
        <w:gridCol w:w="1780"/>
        <w:gridCol w:w="2363"/>
      </w:tblGrid>
      <w:tr w:rsidR="00B708E9" w:rsidTr="00B708E9">
        <w:tc>
          <w:tcPr>
            <w:tcW w:w="14174" w:type="dxa"/>
            <w:gridSpan w:val="6"/>
            <w:shd w:val="clear" w:color="auto" w:fill="BFBFBF" w:themeFill="background1" w:themeFillShade="BF"/>
          </w:tcPr>
          <w:p w:rsidR="00B708E9" w:rsidRPr="00B708E9" w:rsidRDefault="00B708E9" w:rsidP="00B708E9">
            <w:pPr>
              <w:pStyle w:val="Default"/>
              <w:jc w:val="center"/>
              <w:rPr>
                <w:b/>
                <w:sz w:val="40"/>
                <w:szCs w:val="40"/>
              </w:rPr>
            </w:pPr>
            <w:r w:rsidRPr="00B708E9">
              <w:rPr>
                <w:b/>
                <w:sz w:val="40"/>
                <w:szCs w:val="40"/>
              </w:rPr>
              <w:t>Curriculum</w:t>
            </w:r>
          </w:p>
          <w:p w:rsidR="00B708E9" w:rsidRDefault="00B708E9" w:rsidP="00EA6F7C">
            <w:pPr>
              <w:pStyle w:val="Default"/>
              <w:rPr>
                <w:sz w:val="23"/>
                <w:szCs w:val="23"/>
              </w:rPr>
            </w:pPr>
          </w:p>
        </w:tc>
      </w:tr>
      <w:tr w:rsidR="00B708E9" w:rsidTr="00927AA0">
        <w:tc>
          <w:tcPr>
            <w:tcW w:w="3227" w:type="dxa"/>
          </w:tcPr>
          <w:p w:rsidR="00B708E9" w:rsidRPr="00B708E9" w:rsidRDefault="00B708E9" w:rsidP="00C41F6E">
            <w:pPr>
              <w:pStyle w:val="Default"/>
              <w:rPr>
                <w:b/>
                <w:sz w:val="23"/>
                <w:szCs w:val="23"/>
              </w:rPr>
            </w:pPr>
            <w:r w:rsidRPr="00B708E9">
              <w:rPr>
                <w:b/>
                <w:sz w:val="23"/>
                <w:szCs w:val="23"/>
              </w:rPr>
              <w:t>Priority</w:t>
            </w:r>
          </w:p>
        </w:tc>
        <w:tc>
          <w:tcPr>
            <w:tcW w:w="3118" w:type="dxa"/>
          </w:tcPr>
          <w:p w:rsidR="00B708E9" w:rsidRPr="00B708E9" w:rsidRDefault="00B708E9" w:rsidP="00C41F6E">
            <w:pPr>
              <w:pStyle w:val="Default"/>
              <w:rPr>
                <w:b/>
                <w:sz w:val="23"/>
                <w:szCs w:val="23"/>
              </w:rPr>
            </w:pPr>
            <w:r w:rsidRPr="00B708E9">
              <w:rPr>
                <w:b/>
                <w:sz w:val="23"/>
                <w:szCs w:val="23"/>
              </w:rPr>
              <w:t>Action</w:t>
            </w:r>
          </w:p>
        </w:tc>
        <w:tc>
          <w:tcPr>
            <w:tcW w:w="1985" w:type="dxa"/>
          </w:tcPr>
          <w:p w:rsidR="00B708E9" w:rsidRPr="00B708E9" w:rsidRDefault="00B708E9" w:rsidP="00C41F6E">
            <w:pPr>
              <w:pStyle w:val="Default"/>
              <w:rPr>
                <w:b/>
                <w:sz w:val="23"/>
                <w:szCs w:val="23"/>
              </w:rPr>
            </w:pPr>
            <w:r w:rsidRPr="00B708E9">
              <w:rPr>
                <w:b/>
                <w:sz w:val="23"/>
                <w:szCs w:val="23"/>
              </w:rPr>
              <w:t>Timescales</w:t>
            </w:r>
          </w:p>
        </w:tc>
        <w:tc>
          <w:tcPr>
            <w:tcW w:w="1701" w:type="dxa"/>
          </w:tcPr>
          <w:p w:rsidR="00B708E9" w:rsidRPr="00B708E9" w:rsidRDefault="00B708E9" w:rsidP="00C41F6E">
            <w:pPr>
              <w:pStyle w:val="Default"/>
              <w:rPr>
                <w:b/>
                <w:sz w:val="23"/>
                <w:szCs w:val="23"/>
              </w:rPr>
            </w:pPr>
            <w:r w:rsidRPr="00B708E9">
              <w:rPr>
                <w:b/>
                <w:sz w:val="23"/>
                <w:szCs w:val="23"/>
              </w:rPr>
              <w:t>Resources</w:t>
            </w:r>
          </w:p>
        </w:tc>
        <w:tc>
          <w:tcPr>
            <w:tcW w:w="1780" w:type="dxa"/>
          </w:tcPr>
          <w:p w:rsidR="00B708E9" w:rsidRPr="00B708E9" w:rsidRDefault="00B708E9" w:rsidP="00C41F6E">
            <w:pPr>
              <w:pStyle w:val="Default"/>
              <w:rPr>
                <w:b/>
                <w:sz w:val="23"/>
                <w:szCs w:val="23"/>
              </w:rPr>
            </w:pPr>
            <w:r w:rsidRPr="00B708E9">
              <w:rPr>
                <w:b/>
                <w:sz w:val="23"/>
                <w:szCs w:val="23"/>
              </w:rPr>
              <w:t>Responsibility</w:t>
            </w:r>
          </w:p>
        </w:tc>
        <w:tc>
          <w:tcPr>
            <w:tcW w:w="2363" w:type="dxa"/>
          </w:tcPr>
          <w:p w:rsidR="00B708E9" w:rsidRPr="00B708E9" w:rsidRDefault="00B708E9" w:rsidP="00C41F6E">
            <w:pPr>
              <w:pStyle w:val="Default"/>
              <w:rPr>
                <w:b/>
                <w:sz w:val="23"/>
                <w:szCs w:val="23"/>
              </w:rPr>
            </w:pPr>
            <w:r w:rsidRPr="00B708E9">
              <w:rPr>
                <w:b/>
                <w:sz w:val="23"/>
                <w:szCs w:val="23"/>
              </w:rPr>
              <w:t>Monitoring and Evaluation</w:t>
            </w:r>
          </w:p>
        </w:tc>
      </w:tr>
      <w:tr w:rsidR="00B708E9" w:rsidTr="00927AA0">
        <w:tc>
          <w:tcPr>
            <w:tcW w:w="3227" w:type="dxa"/>
          </w:tcPr>
          <w:p w:rsidR="00B708E9" w:rsidRPr="00565D8E" w:rsidRDefault="00B708E9" w:rsidP="003A14FD">
            <w:pPr>
              <w:pStyle w:val="Default"/>
            </w:pPr>
            <w:r w:rsidRPr="00565D8E">
              <w:t>Further develop the use of ICT to support all children’s needs.</w:t>
            </w:r>
          </w:p>
        </w:tc>
        <w:tc>
          <w:tcPr>
            <w:tcW w:w="3118" w:type="dxa"/>
          </w:tcPr>
          <w:p w:rsidR="00B708E9" w:rsidRPr="00565D8E" w:rsidRDefault="00221258" w:rsidP="003A14FD">
            <w:pPr>
              <w:pStyle w:val="Default"/>
            </w:pPr>
            <w:r w:rsidRPr="00565D8E">
              <w:t>ICT SLA – CPD specifically focused on using ICT for SEND.</w:t>
            </w:r>
          </w:p>
        </w:tc>
        <w:tc>
          <w:tcPr>
            <w:tcW w:w="1985" w:type="dxa"/>
          </w:tcPr>
          <w:p w:rsidR="00B708E9" w:rsidRPr="00565D8E" w:rsidRDefault="00221258" w:rsidP="00030642">
            <w:pPr>
              <w:pStyle w:val="Default"/>
            </w:pPr>
            <w:r w:rsidRPr="00565D8E">
              <w:t>Summer 2018 onwards</w:t>
            </w:r>
          </w:p>
        </w:tc>
        <w:tc>
          <w:tcPr>
            <w:tcW w:w="1701" w:type="dxa"/>
          </w:tcPr>
          <w:p w:rsidR="00B708E9" w:rsidRPr="00565D8E" w:rsidRDefault="00B708E9" w:rsidP="00030642">
            <w:pPr>
              <w:pStyle w:val="Default"/>
            </w:pPr>
            <w:r w:rsidRPr="00565D8E">
              <w:t>ICT SLA</w:t>
            </w:r>
          </w:p>
          <w:p w:rsidR="00B708E9" w:rsidRPr="00565D8E" w:rsidRDefault="00B708E9" w:rsidP="00030642">
            <w:pPr>
              <w:pStyle w:val="Default"/>
            </w:pPr>
          </w:p>
        </w:tc>
        <w:tc>
          <w:tcPr>
            <w:tcW w:w="1780" w:type="dxa"/>
          </w:tcPr>
          <w:p w:rsidR="00B708E9" w:rsidRPr="00565D8E" w:rsidRDefault="00221258" w:rsidP="00030642">
            <w:pPr>
              <w:pStyle w:val="Default"/>
            </w:pPr>
            <w:r w:rsidRPr="00565D8E">
              <w:t>SENCo</w:t>
            </w:r>
          </w:p>
          <w:p w:rsidR="00B708E9" w:rsidRPr="00565D8E" w:rsidRDefault="00B708E9" w:rsidP="00030642">
            <w:pPr>
              <w:pStyle w:val="Default"/>
            </w:pPr>
            <w:r w:rsidRPr="00565D8E">
              <w:t>Class teachers</w:t>
            </w:r>
          </w:p>
        </w:tc>
        <w:tc>
          <w:tcPr>
            <w:tcW w:w="2363" w:type="dxa"/>
          </w:tcPr>
          <w:p w:rsidR="00B708E9" w:rsidRPr="00565D8E" w:rsidRDefault="00063657" w:rsidP="00030642">
            <w:pPr>
              <w:pStyle w:val="Default"/>
            </w:pPr>
            <w:r>
              <w:t>N/A at present – re-evaluate need Summer 2019/Autumn 19/20</w:t>
            </w:r>
          </w:p>
        </w:tc>
      </w:tr>
      <w:tr w:rsidR="00B708E9" w:rsidTr="00927AA0">
        <w:tc>
          <w:tcPr>
            <w:tcW w:w="3227" w:type="dxa"/>
          </w:tcPr>
          <w:p w:rsidR="00B708E9" w:rsidRPr="00565D8E" w:rsidRDefault="00B708E9" w:rsidP="00030642">
            <w:pPr>
              <w:pStyle w:val="Default"/>
            </w:pPr>
            <w:r w:rsidRPr="00565D8E">
              <w:t>Ensure equal access to educational visits and other out of school activities.</w:t>
            </w:r>
          </w:p>
        </w:tc>
        <w:tc>
          <w:tcPr>
            <w:tcW w:w="3118" w:type="dxa"/>
          </w:tcPr>
          <w:p w:rsidR="00B708E9" w:rsidRPr="00565D8E" w:rsidRDefault="00B708E9" w:rsidP="00030642">
            <w:pPr>
              <w:pStyle w:val="Default"/>
            </w:pPr>
            <w:r w:rsidRPr="00565D8E">
              <w:t>Review Educational visits policy.</w:t>
            </w:r>
          </w:p>
          <w:p w:rsidR="00B708E9" w:rsidRPr="00565D8E" w:rsidRDefault="00221258" w:rsidP="00030642">
            <w:pPr>
              <w:pStyle w:val="Default"/>
            </w:pPr>
            <w:r w:rsidRPr="00565D8E">
              <w:t>EVCs to ensure SEND provided for in all ESPs.</w:t>
            </w:r>
          </w:p>
        </w:tc>
        <w:tc>
          <w:tcPr>
            <w:tcW w:w="1985" w:type="dxa"/>
          </w:tcPr>
          <w:p w:rsidR="00B708E9" w:rsidRPr="00565D8E" w:rsidRDefault="00B708E9" w:rsidP="00030642">
            <w:pPr>
              <w:pStyle w:val="Default"/>
            </w:pPr>
            <w:r w:rsidRPr="00565D8E">
              <w:t>Ongoing</w:t>
            </w:r>
          </w:p>
        </w:tc>
        <w:tc>
          <w:tcPr>
            <w:tcW w:w="1701" w:type="dxa"/>
          </w:tcPr>
          <w:p w:rsidR="00B708E9" w:rsidRPr="00565D8E" w:rsidRDefault="00221258" w:rsidP="00030642">
            <w:pPr>
              <w:pStyle w:val="Default"/>
            </w:pPr>
            <w:r w:rsidRPr="00565D8E">
              <w:t>EVOLVE</w:t>
            </w:r>
          </w:p>
        </w:tc>
        <w:tc>
          <w:tcPr>
            <w:tcW w:w="1780" w:type="dxa"/>
          </w:tcPr>
          <w:p w:rsidR="00B708E9" w:rsidRPr="00565D8E" w:rsidRDefault="00221258" w:rsidP="00030642">
            <w:pPr>
              <w:pStyle w:val="Default"/>
            </w:pPr>
            <w:r w:rsidRPr="00565D8E">
              <w:t>EVCs</w:t>
            </w:r>
          </w:p>
        </w:tc>
        <w:tc>
          <w:tcPr>
            <w:tcW w:w="2363" w:type="dxa"/>
          </w:tcPr>
          <w:p w:rsidR="00B708E9" w:rsidRPr="00565D8E" w:rsidRDefault="00B708E9" w:rsidP="00030642">
            <w:pPr>
              <w:pStyle w:val="Default"/>
            </w:pPr>
            <w:r w:rsidRPr="00565D8E">
              <w:t>HT</w:t>
            </w:r>
          </w:p>
        </w:tc>
      </w:tr>
      <w:tr w:rsidR="00B708E9" w:rsidTr="00927AA0">
        <w:tc>
          <w:tcPr>
            <w:tcW w:w="3227" w:type="dxa"/>
          </w:tcPr>
          <w:p w:rsidR="00B708E9" w:rsidRPr="00565D8E" w:rsidRDefault="00B708E9" w:rsidP="00030642">
            <w:pPr>
              <w:pStyle w:val="Default"/>
            </w:pPr>
            <w:r w:rsidRPr="00565D8E">
              <w:t>Individual health plans identify potential barriers to full participation.</w:t>
            </w:r>
          </w:p>
        </w:tc>
        <w:tc>
          <w:tcPr>
            <w:tcW w:w="3118" w:type="dxa"/>
          </w:tcPr>
          <w:p w:rsidR="00221258" w:rsidRPr="00565D8E" w:rsidRDefault="00221258" w:rsidP="00030642">
            <w:pPr>
              <w:pStyle w:val="Default"/>
            </w:pPr>
            <w:r w:rsidRPr="00565D8E">
              <w:t>Termly SEND meetings.</w:t>
            </w:r>
          </w:p>
          <w:p w:rsidR="00B708E9" w:rsidRPr="00565D8E" w:rsidRDefault="00221258" w:rsidP="00030642">
            <w:pPr>
              <w:pStyle w:val="Default"/>
            </w:pPr>
            <w:r w:rsidRPr="00565D8E">
              <w:t>Medical lists up to date and shared with staff,</w:t>
            </w:r>
            <w:r w:rsidR="00B708E9" w:rsidRPr="00565D8E">
              <w:t xml:space="preserve"> </w:t>
            </w:r>
          </w:p>
        </w:tc>
        <w:tc>
          <w:tcPr>
            <w:tcW w:w="1985" w:type="dxa"/>
          </w:tcPr>
          <w:p w:rsidR="00B708E9" w:rsidRPr="00565D8E" w:rsidRDefault="00B708E9" w:rsidP="00030642">
            <w:pPr>
              <w:pStyle w:val="Default"/>
            </w:pPr>
            <w:r w:rsidRPr="00565D8E">
              <w:t>Ongoing</w:t>
            </w:r>
          </w:p>
        </w:tc>
        <w:tc>
          <w:tcPr>
            <w:tcW w:w="1701" w:type="dxa"/>
          </w:tcPr>
          <w:p w:rsidR="00B708E9" w:rsidRPr="00565D8E" w:rsidRDefault="00221258" w:rsidP="00030642">
            <w:pPr>
              <w:pStyle w:val="Default"/>
            </w:pPr>
            <w:r w:rsidRPr="00565D8E">
              <w:t>School medical list</w:t>
            </w:r>
          </w:p>
          <w:p w:rsidR="00221258" w:rsidRPr="00565D8E" w:rsidRDefault="00221258" w:rsidP="00030642">
            <w:pPr>
              <w:pStyle w:val="Default"/>
            </w:pPr>
            <w:r w:rsidRPr="00565D8E">
              <w:t>SEND files</w:t>
            </w:r>
          </w:p>
        </w:tc>
        <w:tc>
          <w:tcPr>
            <w:tcW w:w="1780" w:type="dxa"/>
          </w:tcPr>
          <w:p w:rsidR="00B708E9" w:rsidRPr="00565D8E" w:rsidRDefault="00221258" w:rsidP="00030642">
            <w:pPr>
              <w:pStyle w:val="Default"/>
            </w:pPr>
            <w:r w:rsidRPr="00565D8E">
              <w:t>SEN</w:t>
            </w:r>
            <w:r w:rsidR="00B708E9" w:rsidRPr="00565D8E">
              <w:t>C</w:t>
            </w:r>
            <w:r w:rsidRPr="00565D8E">
              <w:t>o</w:t>
            </w:r>
          </w:p>
          <w:p w:rsidR="00B708E9" w:rsidRPr="00565D8E" w:rsidRDefault="00B708E9" w:rsidP="00030642">
            <w:pPr>
              <w:pStyle w:val="Default"/>
            </w:pPr>
            <w:r w:rsidRPr="00565D8E">
              <w:t>Class teachers</w:t>
            </w:r>
          </w:p>
          <w:p w:rsidR="00221258" w:rsidRPr="00565D8E" w:rsidRDefault="00221258" w:rsidP="00030642">
            <w:pPr>
              <w:pStyle w:val="Default"/>
            </w:pPr>
            <w:r w:rsidRPr="00565D8E">
              <w:t>Office manager</w:t>
            </w:r>
          </w:p>
        </w:tc>
        <w:tc>
          <w:tcPr>
            <w:tcW w:w="2363" w:type="dxa"/>
          </w:tcPr>
          <w:p w:rsidR="00B708E9" w:rsidRPr="00565D8E" w:rsidRDefault="00B708E9" w:rsidP="00030642">
            <w:pPr>
              <w:pStyle w:val="Default"/>
            </w:pPr>
            <w:r w:rsidRPr="00565D8E">
              <w:t>Monitored and reviewed at termly pupil progress meetings.</w:t>
            </w:r>
          </w:p>
        </w:tc>
      </w:tr>
    </w:tbl>
    <w:p w:rsidR="00030642" w:rsidRDefault="00030642" w:rsidP="00030642">
      <w:pPr>
        <w:pStyle w:val="Default"/>
        <w:rPr>
          <w:sz w:val="23"/>
          <w:szCs w:val="23"/>
        </w:rPr>
      </w:pPr>
    </w:p>
    <w:p w:rsidR="00030642" w:rsidRDefault="00030642"/>
    <w:p w:rsidR="00940FDF" w:rsidRDefault="00940FDF"/>
    <w:p w:rsidR="00565D8E" w:rsidRDefault="00565D8E"/>
    <w:p w:rsidR="00565D8E" w:rsidRDefault="00565D8E"/>
    <w:p w:rsidR="00565D8E" w:rsidRDefault="00565D8E"/>
    <w:p w:rsidR="00940FDF" w:rsidRDefault="00940FDF"/>
    <w:tbl>
      <w:tblPr>
        <w:tblStyle w:val="TableGrid"/>
        <w:tblW w:w="0" w:type="auto"/>
        <w:tblLayout w:type="fixed"/>
        <w:tblLook w:val="04A0"/>
      </w:tblPr>
      <w:tblGrid>
        <w:gridCol w:w="3227"/>
        <w:gridCol w:w="3118"/>
        <w:gridCol w:w="1985"/>
        <w:gridCol w:w="1701"/>
        <w:gridCol w:w="1780"/>
        <w:gridCol w:w="2363"/>
      </w:tblGrid>
      <w:tr w:rsidR="00B708E9" w:rsidTr="00C41F6E">
        <w:tc>
          <w:tcPr>
            <w:tcW w:w="14174" w:type="dxa"/>
            <w:gridSpan w:val="6"/>
            <w:shd w:val="clear" w:color="auto" w:fill="BFBFBF" w:themeFill="background1" w:themeFillShade="BF"/>
          </w:tcPr>
          <w:p w:rsidR="00B708E9" w:rsidRDefault="00B708E9" w:rsidP="00B708E9">
            <w:pPr>
              <w:pStyle w:val="Default"/>
              <w:jc w:val="center"/>
              <w:rPr>
                <w:sz w:val="23"/>
                <w:szCs w:val="23"/>
              </w:rPr>
            </w:pPr>
            <w:r>
              <w:rPr>
                <w:b/>
                <w:sz w:val="40"/>
                <w:szCs w:val="40"/>
              </w:rPr>
              <w:t>Physical Environment</w:t>
            </w:r>
          </w:p>
        </w:tc>
      </w:tr>
      <w:tr w:rsidR="00B708E9" w:rsidTr="00C41F6E">
        <w:tc>
          <w:tcPr>
            <w:tcW w:w="3227" w:type="dxa"/>
          </w:tcPr>
          <w:p w:rsidR="00B708E9" w:rsidRPr="00B708E9" w:rsidRDefault="00B708E9" w:rsidP="00C41F6E">
            <w:pPr>
              <w:pStyle w:val="Default"/>
              <w:rPr>
                <w:b/>
                <w:sz w:val="23"/>
                <w:szCs w:val="23"/>
              </w:rPr>
            </w:pPr>
            <w:r w:rsidRPr="00B708E9">
              <w:rPr>
                <w:b/>
                <w:sz w:val="23"/>
                <w:szCs w:val="23"/>
              </w:rPr>
              <w:t>Priority</w:t>
            </w:r>
          </w:p>
        </w:tc>
        <w:tc>
          <w:tcPr>
            <w:tcW w:w="3118" w:type="dxa"/>
          </w:tcPr>
          <w:p w:rsidR="00B708E9" w:rsidRPr="00B708E9" w:rsidRDefault="00B708E9" w:rsidP="00C41F6E">
            <w:pPr>
              <w:pStyle w:val="Default"/>
              <w:rPr>
                <w:b/>
                <w:sz w:val="23"/>
                <w:szCs w:val="23"/>
              </w:rPr>
            </w:pPr>
            <w:r w:rsidRPr="00B708E9">
              <w:rPr>
                <w:b/>
                <w:sz w:val="23"/>
                <w:szCs w:val="23"/>
              </w:rPr>
              <w:t>Action</w:t>
            </w:r>
          </w:p>
        </w:tc>
        <w:tc>
          <w:tcPr>
            <w:tcW w:w="1985" w:type="dxa"/>
          </w:tcPr>
          <w:p w:rsidR="00B708E9" w:rsidRPr="00B708E9" w:rsidRDefault="00B708E9" w:rsidP="00C41F6E">
            <w:pPr>
              <w:pStyle w:val="Default"/>
              <w:rPr>
                <w:b/>
                <w:sz w:val="23"/>
                <w:szCs w:val="23"/>
              </w:rPr>
            </w:pPr>
            <w:r w:rsidRPr="00B708E9">
              <w:rPr>
                <w:b/>
                <w:sz w:val="23"/>
                <w:szCs w:val="23"/>
              </w:rPr>
              <w:t>Timescales</w:t>
            </w:r>
          </w:p>
        </w:tc>
        <w:tc>
          <w:tcPr>
            <w:tcW w:w="1701" w:type="dxa"/>
          </w:tcPr>
          <w:p w:rsidR="00B708E9" w:rsidRPr="00B708E9" w:rsidRDefault="00B708E9" w:rsidP="00C41F6E">
            <w:pPr>
              <w:pStyle w:val="Default"/>
              <w:rPr>
                <w:b/>
                <w:sz w:val="23"/>
                <w:szCs w:val="23"/>
              </w:rPr>
            </w:pPr>
            <w:r w:rsidRPr="00B708E9">
              <w:rPr>
                <w:b/>
                <w:sz w:val="23"/>
                <w:szCs w:val="23"/>
              </w:rPr>
              <w:t>Resources</w:t>
            </w:r>
          </w:p>
        </w:tc>
        <w:tc>
          <w:tcPr>
            <w:tcW w:w="1780" w:type="dxa"/>
          </w:tcPr>
          <w:p w:rsidR="00B708E9" w:rsidRPr="00B708E9" w:rsidRDefault="00B708E9" w:rsidP="00C41F6E">
            <w:pPr>
              <w:pStyle w:val="Default"/>
              <w:rPr>
                <w:b/>
                <w:sz w:val="23"/>
                <w:szCs w:val="23"/>
              </w:rPr>
            </w:pPr>
            <w:r w:rsidRPr="00B708E9">
              <w:rPr>
                <w:b/>
                <w:sz w:val="23"/>
                <w:szCs w:val="23"/>
              </w:rPr>
              <w:t>Responsibility</w:t>
            </w:r>
          </w:p>
        </w:tc>
        <w:tc>
          <w:tcPr>
            <w:tcW w:w="2363" w:type="dxa"/>
          </w:tcPr>
          <w:p w:rsidR="00B708E9" w:rsidRPr="00B708E9" w:rsidRDefault="00B708E9" w:rsidP="00C41F6E">
            <w:pPr>
              <w:pStyle w:val="Default"/>
              <w:rPr>
                <w:b/>
                <w:sz w:val="23"/>
                <w:szCs w:val="23"/>
              </w:rPr>
            </w:pPr>
            <w:r w:rsidRPr="00B708E9">
              <w:rPr>
                <w:b/>
                <w:sz w:val="23"/>
                <w:szCs w:val="23"/>
              </w:rPr>
              <w:t>Monitoring and Evaluation</w:t>
            </w:r>
          </w:p>
        </w:tc>
      </w:tr>
      <w:tr w:rsidR="00565D8E" w:rsidRPr="00565D8E" w:rsidTr="00C41F6E">
        <w:tc>
          <w:tcPr>
            <w:tcW w:w="3227" w:type="dxa"/>
          </w:tcPr>
          <w:p w:rsidR="00565D8E" w:rsidRPr="00565D8E" w:rsidRDefault="00565D8E" w:rsidP="00BC5A41">
            <w:pPr>
              <w:pStyle w:val="Default"/>
            </w:pPr>
            <w:r w:rsidRPr="00565D8E">
              <w:t xml:space="preserve">Annually evaluate user experience. </w:t>
            </w:r>
          </w:p>
          <w:p w:rsidR="00565D8E" w:rsidRPr="00565D8E" w:rsidRDefault="00565D8E" w:rsidP="00BC5A41">
            <w:pPr>
              <w:pStyle w:val="Default"/>
            </w:pPr>
          </w:p>
        </w:tc>
        <w:tc>
          <w:tcPr>
            <w:tcW w:w="3118" w:type="dxa"/>
          </w:tcPr>
          <w:p w:rsidR="00565D8E" w:rsidRPr="00565D8E" w:rsidRDefault="00565D8E" w:rsidP="00BC5A41">
            <w:pPr>
              <w:pStyle w:val="Default"/>
            </w:pPr>
            <w:r w:rsidRPr="00565D8E">
              <w:t>Focus group Y1-4, HT, SENCo &amp; SEND governor: Identify users with physical needs and try to access all parts of the school in their shoes.  Repeat the exercise annually, raising awareness of SEND and supporting pupils to take responsibility for improving the environment. Design priority list of improvements.</w:t>
            </w:r>
          </w:p>
        </w:tc>
        <w:tc>
          <w:tcPr>
            <w:tcW w:w="1985" w:type="dxa"/>
          </w:tcPr>
          <w:p w:rsidR="00565D8E" w:rsidRPr="00565D8E" w:rsidRDefault="00565D8E" w:rsidP="00BC5A41">
            <w:pPr>
              <w:pStyle w:val="Default"/>
            </w:pPr>
            <w:r w:rsidRPr="00565D8E">
              <w:t>Ongoing</w:t>
            </w:r>
          </w:p>
        </w:tc>
        <w:tc>
          <w:tcPr>
            <w:tcW w:w="1701" w:type="dxa"/>
          </w:tcPr>
          <w:p w:rsidR="00565D8E" w:rsidRPr="00565D8E" w:rsidRDefault="00565D8E" w:rsidP="00BC5A41">
            <w:pPr>
              <w:pStyle w:val="Default"/>
            </w:pPr>
          </w:p>
        </w:tc>
        <w:tc>
          <w:tcPr>
            <w:tcW w:w="1780" w:type="dxa"/>
          </w:tcPr>
          <w:p w:rsidR="00565D8E" w:rsidRPr="00565D8E" w:rsidRDefault="00565D8E" w:rsidP="00BC5A41">
            <w:pPr>
              <w:pStyle w:val="Default"/>
            </w:pPr>
            <w:r w:rsidRPr="00565D8E">
              <w:t>HT</w:t>
            </w:r>
          </w:p>
          <w:p w:rsidR="00565D8E" w:rsidRPr="00565D8E" w:rsidRDefault="00565D8E" w:rsidP="00BC5A41">
            <w:pPr>
              <w:pStyle w:val="Default"/>
            </w:pPr>
            <w:r w:rsidRPr="00565D8E">
              <w:t>SENCo</w:t>
            </w:r>
          </w:p>
          <w:p w:rsidR="00565D8E" w:rsidRPr="00565D8E" w:rsidRDefault="00565D8E" w:rsidP="00BC5A41">
            <w:pPr>
              <w:pStyle w:val="Default"/>
            </w:pPr>
            <w:r w:rsidRPr="00565D8E">
              <w:t>SEND Governor</w:t>
            </w:r>
          </w:p>
        </w:tc>
        <w:tc>
          <w:tcPr>
            <w:tcW w:w="2363" w:type="dxa"/>
          </w:tcPr>
          <w:p w:rsidR="00565D8E" w:rsidRPr="00565D8E" w:rsidRDefault="00D25470" w:rsidP="00BC5A41">
            <w:pPr>
              <w:pStyle w:val="Default"/>
            </w:pPr>
            <w:r>
              <w:t>Checklist reviewed May 19</w:t>
            </w:r>
            <w:r w:rsidR="00565D8E" w:rsidRPr="00565D8E">
              <w:t>.</w:t>
            </w:r>
          </w:p>
          <w:p w:rsidR="00565D8E" w:rsidRPr="00565D8E" w:rsidRDefault="00565D8E" w:rsidP="00BC5A41">
            <w:pPr>
              <w:pStyle w:val="Default"/>
            </w:pPr>
            <w:r w:rsidRPr="00565D8E">
              <w:t>Follow up - HT, caretaker</w:t>
            </w:r>
            <w:r w:rsidR="00D25470">
              <w:t>, Governing Body.</w:t>
            </w:r>
          </w:p>
        </w:tc>
      </w:tr>
      <w:tr w:rsidR="00565D8E" w:rsidRPr="00565D8E" w:rsidTr="00C41F6E">
        <w:tc>
          <w:tcPr>
            <w:tcW w:w="3227" w:type="dxa"/>
          </w:tcPr>
          <w:p w:rsidR="00565D8E" w:rsidRPr="00565D8E" w:rsidRDefault="00565D8E" w:rsidP="00665AB8">
            <w:pPr>
              <w:pStyle w:val="Default"/>
            </w:pPr>
            <w:r w:rsidRPr="00565D8E">
              <w:t xml:space="preserve">Action and evaluate the impact of the priority list from the annual user experience. </w:t>
            </w:r>
          </w:p>
          <w:p w:rsidR="00565D8E" w:rsidRDefault="00565D8E" w:rsidP="00665AB8">
            <w:pPr>
              <w:pStyle w:val="Default"/>
            </w:pPr>
            <w:r w:rsidRPr="00565D8E">
              <w:t xml:space="preserve">Regularly address maintenance issues relating to accessibility (e.g. routine corridor check for impeded access) </w:t>
            </w:r>
          </w:p>
          <w:p w:rsidR="00565D8E" w:rsidRPr="00565D8E" w:rsidRDefault="00565D8E" w:rsidP="00665AB8">
            <w:pPr>
              <w:pStyle w:val="Default"/>
            </w:pPr>
          </w:p>
        </w:tc>
        <w:tc>
          <w:tcPr>
            <w:tcW w:w="3118" w:type="dxa"/>
          </w:tcPr>
          <w:p w:rsidR="00565D8E" w:rsidRPr="00565D8E" w:rsidRDefault="00565D8E" w:rsidP="00665AB8">
            <w:pPr>
              <w:pStyle w:val="Default"/>
            </w:pPr>
            <w:r w:rsidRPr="00565D8E">
              <w:t xml:space="preserve">Checklist developed and shared with governors and staff. </w:t>
            </w:r>
          </w:p>
          <w:p w:rsidR="00565D8E" w:rsidRPr="00565D8E" w:rsidRDefault="00565D8E" w:rsidP="00665AB8">
            <w:pPr>
              <w:pStyle w:val="Default"/>
            </w:pPr>
            <w:r w:rsidRPr="00565D8E">
              <w:t xml:space="preserve">Reported in HT report to governors. </w:t>
            </w:r>
          </w:p>
        </w:tc>
        <w:tc>
          <w:tcPr>
            <w:tcW w:w="1985" w:type="dxa"/>
          </w:tcPr>
          <w:p w:rsidR="00565D8E" w:rsidRPr="00565D8E" w:rsidRDefault="00565D8E" w:rsidP="00665AB8">
            <w:pPr>
              <w:pStyle w:val="Default"/>
            </w:pPr>
            <w:r w:rsidRPr="00565D8E">
              <w:t>Spring 2018 onwards</w:t>
            </w:r>
          </w:p>
          <w:p w:rsidR="00565D8E" w:rsidRPr="00565D8E" w:rsidRDefault="00565D8E" w:rsidP="00665AB8">
            <w:pPr>
              <w:pStyle w:val="Default"/>
            </w:pPr>
          </w:p>
        </w:tc>
        <w:tc>
          <w:tcPr>
            <w:tcW w:w="1701" w:type="dxa"/>
          </w:tcPr>
          <w:p w:rsidR="00565D8E" w:rsidRPr="00565D8E" w:rsidRDefault="00565D8E" w:rsidP="00665AB8">
            <w:pPr>
              <w:pStyle w:val="Default"/>
            </w:pPr>
          </w:p>
        </w:tc>
        <w:tc>
          <w:tcPr>
            <w:tcW w:w="1780" w:type="dxa"/>
          </w:tcPr>
          <w:p w:rsidR="00565D8E" w:rsidRPr="00565D8E" w:rsidRDefault="00565D8E" w:rsidP="00665AB8">
            <w:pPr>
              <w:pStyle w:val="Default"/>
            </w:pPr>
            <w:r w:rsidRPr="00565D8E">
              <w:t>HT</w:t>
            </w:r>
          </w:p>
          <w:p w:rsidR="00565D8E" w:rsidRPr="00565D8E" w:rsidRDefault="00565D8E" w:rsidP="00665AB8">
            <w:pPr>
              <w:pStyle w:val="Default"/>
            </w:pPr>
            <w:r w:rsidRPr="00565D8E">
              <w:t>Caretaker</w:t>
            </w:r>
          </w:p>
        </w:tc>
        <w:tc>
          <w:tcPr>
            <w:tcW w:w="2363" w:type="dxa"/>
          </w:tcPr>
          <w:p w:rsidR="00D25470" w:rsidRPr="00565D8E" w:rsidRDefault="00D25470" w:rsidP="00D25470">
            <w:pPr>
              <w:pStyle w:val="Default"/>
            </w:pPr>
            <w:r>
              <w:t>Checklist reviewed May 19</w:t>
            </w:r>
            <w:r w:rsidRPr="00565D8E">
              <w:t>.</w:t>
            </w:r>
          </w:p>
          <w:p w:rsidR="00565D8E" w:rsidRPr="00565D8E" w:rsidRDefault="00D25470" w:rsidP="00665AB8">
            <w:pPr>
              <w:pStyle w:val="Default"/>
            </w:pPr>
            <w:r w:rsidRPr="00565D8E">
              <w:t>Follow up - HT, caretaker</w:t>
            </w:r>
            <w:r>
              <w:t xml:space="preserve">, Governing Body, </w:t>
            </w:r>
            <w:r w:rsidR="00565D8E" w:rsidRPr="00565D8E">
              <w:t>H &amp; S Governor</w:t>
            </w:r>
          </w:p>
          <w:p w:rsidR="00565D8E" w:rsidRPr="00565D8E" w:rsidRDefault="00565D8E" w:rsidP="00665AB8">
            <w:pPr>
              <w:pStyle w:val="Default"/>
            </w:pPr>
            <w:r w:rsidRPr="00565D8E">
              <w:t>SEND Governor</w:t>
            </w:r>
          </w:p>
          <w:p w:rsidR="00565D8E" w:rsidRPr="00565D8E" w:rsidRDefault="00565D8E" w:rsidP="00665AB8">
            <w:pPr>
              <w:pStyle w:val="Default"/>
            </w:pPr>
            <w:r w:rsidRPr="00565D8E">
              <w:t>Action and monitor checklist.</w:t>
            </w:r>
          </w:p>
        </w:tc>
      </w:tr>
      <w:tr w:rsidR="00565D8E" w:rsidRPr="00565D8E" w:rsidTr="00C41F6E">
        <w:tc>
          <w:tcPr>
            <w:tcW w:w="3227" w:type="dxa"/>
          </w:tcPr>
          <w:p w:rsidR="00565D8E" w:rsidRPr="00565D8E" w:rsidRDefault="00565D8E" w:rsidP="006D12A2">
            <w:pPr>
              <w:pStyle w:val="Default"/>
            </w:pPr>
            <w:r w:rsidRPr="00565D8E">
              <w:t xml:space="preserve">Improved staff awareness of responsibilities re. accessibility </w:t>
            </w:r>
          </w:p>
        </w:tc>
        <w:tc>
          <w:tcPr>
            <w:tcW w:w="3118" w:type="dxa"/>
          </w:tcPr>
          <w:p w:rsidR="00565D8E" w:rsidRPr="00565D8E" w:rsidRDefault="00565D8E" w:rsidP="006D12A2">
            <w:pPr>
              <w:pStyle w:val="Default"/>
            </w:pPr>
            <w:r w:rsidRPr="00565D8E">
              <w:t xml:space="preserve">Annual staff refresher regarding expectations for accessibility. </w:t>
            </w:r>
          </w:p>
        </w:tc>
        <w:tc>
          <w:tcPr>
            <w:tcW w:w="1985" w:type="dxa"/>
          </w:tcPr>
          <w:p w:rsidR="00565D8E" w:rsidRPr="00565D8E" w:rsidRDefault="00565D8E" w:rsidP="006D12A2">
            <w:pPr>
              <w:pStyle w:val="Default"/>
            </w:pPr>
            <w:r w:rsidRPr="00565D8E">
              <w:t>Ongoing</w:t>
            </w:r>
          </w:p>
        </w:tc>
        <w:tc>
          <w:tcPr>
            <w:tcW w:w="1701" w:type="dxa"/>
          </w:tcPr>
          <w:p w:rsidR="00565D8E" w:rsidRPr="00565D8E" w:rsidRDefault="00565D8E" w:rsidP="006D12A2">
            <w:pPr>
              <w:pStyle w:val="Default"/>
            </w:pPr>
          </w:p>
        </w:tc>
        <w:tc>
          <w:tcPr>
            <w:tcW w:w="1780" w:type="dxa"/>
          </w:tcPr>
          <w:p w:rsidR="00565D8E" w:rsidRPr="00565D8E" w:rsidRDefault="00565D8E" w:rsidP="006D12A2">
            <w:pPr>
              <w:pStyle w:val="Default"/>
            </w:pPr>
            <w:r w:rsidRPr="00565D8E">
              <w:t>HT</w:t>
            </w:r>
          </w:p>
        </w:tc>
        <w:tc>
          <w:tcPr>
            <w:tcW w:w="2363" w:type="dxa"/>
          </w:tcPr>
          <w:p w:rsidR="00565D8E" w:rsidRPr="00565D8E" w:rsidRDefault="00565D8E" w:rsidP="006D12A2">
            <w:pPr>
              <w:pStyle w:val="Default"/>
            </w:pPr>
            <w:r w:rsidRPr="00565D8E">
              <w:t>HT- learning walks</w:t>
            </w:r>
          </w:p>
        </w:tc>
      </w:tr>
    </w:tbl>
    <w:p w:rsidR="00B708E9" w:rsidRPr="00565D8E" w:rsidRDefault="00B708E9">
      <w:pPr>
        <w:rPr>
          <w:sz w:val="24"/>
          <w:szCs w:val="24"/>
        </w:rPr>
      </w:pPr>
    </w:p>
    <w:p w:rsidR="00940FDF" w:rsidRDefault="00940FDF"/>
    <w:tbl>
      <w:tblPr>
        <w:tblStyle w:val="TableGrid"/>
        <w:tblW w:w="0" w:type="auto"/>
        <w:tblLayout w:type="fixed"/>
        <w:tblLook w:val="04A0"/>
      </w:tblPr>
      <w:tblGrid>
        <w:gridCol w:w="3227"/>
        <w:gridCol w:w="3118"/>
        <w:gridCol w:w="1985"/>
        <w:gridCol w:w="1701"/>
        <w:gridCol w:w="1780"/>
        <w:gridCol w:w="2363"/>
      </w:tblGrid>
      <w:tr w:rsidR="00E056D0" w:rsidTr="00C41F6E">
        <w:tc>
          <w:tcPr>
            <w:tcW w:w="14174" w:type="dxa"/>
            <w:gridSpan w:val="6"/>
            <w:shd w:val="clear" w:color="auto" w:fill="BFBFBF" w:themeFill="background1" w:themeFillShade="BF"/>
          </w:tcPr>
          <w:p w:rsidR="00E056D0" w:rsidRDefault="00E056D0" w:rsidP="00C41F6E">
            <w:pPr>
              <w:pStyle w:val="Default"/>
              <w:jc w:val="center"/>
              <w:rPr>
                <w:sz w:val="23"/>
                <w:szCs w:val="23"/>
              </w:rPr>
            </w:pPr>
            <w:r>
              <w:rPr>
                <w:b/>
                <w:sz w:val="40"/>
                <w:szCs w:val="40"/>
              </w:rPr>
              <w:t>Accessibility of information</w:t>
            </w:r>
          </w:p>
        </w:tc>
      </w:tr>
      <w:tr w:rsidR="00E056D0" w:rsidTr="00C41F6E">
        <w:tc>
          <w:tcPr>
            <w:tcW w:w="3227" w:type="dxa"/>
          </w:tcPr>
          <w:p w:rsidR="00E056D0" w:rsidRPr="00B708E9" w:rsidRDefault="00E056D0" w:rsidP="00C41F6E">
            <w:pPr>
              <w:pStyle w:val="Default"/>
              <w:rPr>
                <w:b/>
                <w:sz w:val="23"/>
                <w:szCs w:val="23"/>
              </w:rPr>
            </w:pPr>
            <w:r w:rsidRPr="00B708E9">
              <w:rPr>
                <w:b/>
                <w:sz w:val="23"/>
                <w:szCs w:val="23"/>
              </w:rPr>
              <w:t>Priority</w:t>
            </w:r>
          </w:p>
        </w:tc>
        <w:tc>
          <w:tcPr>
            <w:tcW w:w="3118" w:type="dxa"/>
          </w:tcPr>
          <w:p w:rsidR="00E056D0" w:rsidRPr="00B708E9" w:rsidRDefault="00E056D0" w:rsidP="00C41F6E">
            <w:pPr>
              <w:pStyle w:val="Default"/>
              <w:rPr>
                <w:b/>
                <w:sz w:val="23"/>
                <w:szCs w:val="23"/>
              </w:rPr>
            </w:pPr>
            <w:r w:rsidRPr="00B708E9">
              <w:rPr>
                <w:b/>
                <w:sz w:val="23"/>
                <w:szCs w:val="23"/>
              </w:rPr>
              <w:t>Action</w:t>
            </w:r>
          </w:p>
        </w:tc>
        <w:tc>
          <w:tcPr>
            <w:tcW w:w="1985" w:type="dxa"/>
          </w:tcPr>
          <w:p w:rsidR="00E056D0" w:rsidRPr="00B708E9" w:rsidRDefault="00E056D0" w:rsidP="00C41F6E">
            <w:pPr>
              <w:pStyle w:val="Default"/>
              <w:rPr>
                <w:b/>
                <w:sz w:val="23"/>
                <w:szCs w:val="23"/>
              </w:rPr>
            </w:pPr>
            <w:r w:rsidRPr="00B708E9">
              <w:rPr>
                <w:b/>
                <w:sz w:val="23"/>
                <w:szCs w:val="23"/>
              </w:rPr>
              <w:t>Timescales</w:t>
            </w:r>
          </w:p>
        </w:tc>
        <w:tc>
          <w:tcPr>
            <w:tcW w:w="1701" w:type="dxa"/>
          </w:tcPr>
          <w:p w:rsidR="00E056D0" w:rsidRPr="00B708E9" w:rsidRDefault="00E056D0" w:rsidP="00C41F6E">
            <w:pPr>
              <w:pStyle w:val="Default"/>
              <w:rPr>
                <w:b/>
                <w:sz w:val="23"/>
                <w:szCs w:val="23"/>
              </w:rPr>
            </w:pPr>
            <w:r w:rsidRPr="00B708E9">
              <w:rPr>
                <w:b/>
                <w:sz w:val="23"/>
                <w:szCs w:val="23"/>
              </w:rPr>
              <w:t>Resources</w:t>
            </w:r>
          </w:p>
        </w:tc>
        <w:tc>
          <w:tcPr>
            <w:tcW w:w="1780" w:type="dxa"/>
          </w:tcPr>
          <w:p w:rsidR="00E056D0" w:rsidRPr="00B708E9" w:rsidRDefault="00E056D0" w:rsidP="00C41F6E">
            <w:pPr>
              <w:pStyle w:val="Default"/>
              <w:rPr>
                <w:b/>
                <w:sz w:val="23"/>
                <w:szCs w:val="23"/>
              </w:rPr>
            </w:pPr>
            <w:r w:rsidRPr="00B708E9">
              <w:rPr>
                <w:b/>
                <w:sz w:val="23"/>
                <w:szCs w:val="23"/>
              </w:rPr>
              <w:t>Responsibility</w:t>
            </w:r>
          </w:p>
        </w:tc>
        <w:tc>
          <w:tcPr>
            <w:tcW w:w="2363" w:type="dxa"/>
          </w:tcPr>
          <w:p w:rsidR="00E056D0" w:rsidRPr="00B708E9" w:rsidRDefault="00E056D0" w:rsidP="00C41F6E">
            <w:pPr>
              <w:pStyle w:val="Default"/>
              <w:rPr>
                <w:b/>
                <w:sz w:val="23"/>
                <w:szCs w:val="23"/>
              </w:rPr>
            </w:pPr>
            <w:r w:rsidRPr="00B708E9">
              <w:rPr>
                <w:b/>
                <w:sz w:val="23"/>
                <w:szCs w:val="23"/>
              </w:rPr>
              <w:t>Monitoring and Evaluation</w:t>
            </w:r>
          </w:p>
        </w:tc>
      </w:tr>
      <w:tr w:rsidR="00E056D0" w:rsidTr="00C41F6E">
        <w:tc>
          <w:tcPr>
            <w:tcW w:w="3227" w:type="dxa"/>
          </w:tcPr>
          <w:p w:rsidR="00E056D0" w:rsidRPr="00565D8E" w:rsidRDefault="00E056D0" w:rsidP="00C41F6E">
            <w:pPr>
              <w:pStyle w:val="Default"/>
            </w:pPr>
            <w:r w:rsidRPr="00565D8E">
              <w:t>Children with known SEND are identified before starting school.</w:t>
            </w:r>
          </w:p>
        </w:tc>
        <w:tc>
          <w:tcPr>
            <w:tcW w:w="3118" w:type="dxa"/>
          </w:tcPr>
          <w:p w:rsidR="00E056D0" w:rsidRPr="00565D8E" w:rsidRDefault="00221258" w:rsidP="00E056D0">
            <w:pPr>
              <w:pStyle w:val="Default"/>
            </w:pPr>
            <w:r w:rsidRPr="00565D8E">
              <w:t xml:space="preserve">Continue to liaise </w:t>
            </w:r>
            <w:r w:rsidR="00E056D0" w:rsidRPr="00565D8E">
              <w:t>with Early Years settings, parents and related professionals to establish provisions needed in advance of the child starting school.</w:t>
            </w:r>
          </w:p>
          <w:p w:rsidR="00E056D0" w:rsidRPr="00565D8E" w:rsidRDefault="00E056D0" w:rsidP="00E056D0">
            <w:pPr>
              <w:pStyle w:val="Default"/>
            </w:pPr>
          </w:p>
          <w:p w:rsidR="00E056D0" w:rsidRPr="00565D8E" w:rsidRDefault="00E056D0" w:rsidP="00E056D0">
            <w:pPr>
              <w:pStyle w:val="Default"/>
            </w:pPr>
          </w:p>
        </w:tc>
        <w:tc>
          <w:tcPr>
            <w:tcW w:w="1985" w:type="dxa"/>
          </w:tcPr>
          <w:p w:rsidR="00E056D0" w:rsidRPr="00565D8E" w:rsidRDefault="00221258" w:rsidP="00C41F6E">
            <w:pPr>
              <w:pStyle w:val="Default"/>
            </w:pPr>
            <w:r w:rsidRPr="00565D8E">
              <w:t>Ongoing</w:t>
            </w:r>
          </w:p>
        </w:tc>
        <w:tc>
          <w:tcPr>
            <w:tcW w:w="1701" w:type="dxa"/>
          </w:tcPr>
          <w:p w:rsidR="00E056D0" w:rsidRPr="00565D8E" w:rsidRDefault="00E056D0" w:rsidP="00C41F6E">
            <w:pPr>
              <w:pStyle w:val="Default"/>
            </w:pPr>
            <w:r w:rsidRPr="00565D8E">
              <w:t>Support and resources in place before the child begins school</w:t>
            </w:r>
          </w:p>
        </w:tc>
        <w:tc>
          <w:tcPr>
            <w:tcW w:w="1780" w:type="dxa"/>
          </w:tcPr>
          <w:p w:rsidR="00E056D0" w:rsidRPr="00565D8E" w:rsidRDefault="00221258" w:rsidP="00C41F6E">
            <w:pPr>
              <w:pStyle w:val="Default"/>
            </w:pPr>
            <w:r w:rsidRPr="00565D8E">
              <w:t>EYFS manager</w:t>
            </w:r>
          </w:p>
          <w:p w:rsidR="00221258" w:rsidRPr="00565D8E" w:rsidRDefault="00221258" w:rsidP="00C41F6E">
            <w:pPr>
              <w:pStyle w:val="Default"/>
            </w:pPr>
            <w:r w:rsidRPr="00565D8E">
              <w:t>SENCo</w:t>
            </w:r>
          </w:p>
          <w:p w:rsidR="00221258" w:rsidRPr="00565D8E" w:rsidRDefault="00221258" w:rsidP="00C41F6E">
            <w:pPr>
              <w:pStyle w:val="Default"/>
            </w:pPr>
            <w:r w:rsidRPr="00565D8E">
              <w:t>HT</w:t>
            </w:r>
          </w:p>
        </w:tc>
        <w:tc>
          <w:tcPr>
            <w:tcW w:w="2363" w:type="dxa"/>
          </w:tcPr>
          <w:p w:rsidR="00E056D0" w:rsidRPr="00565D8E" w:rsidRDefault="00221258" w:rsidP="00E056D0">
            <w:pPr>
              <w:pStyle w:val="Default"/>
            </w:pPr>
            <w:r w:rsidRPr="00565D8E">
              <w:t>SENCo</w:t>
            </w:r>
          </w:p>
          <w:p w:rsidR="00E056D0" w:rsidRPr="00565D8E" w:rsidRDefault="00E056D0" w:rsidP="00E056D0">
            <w:pPr>
              <w:pStyle w:val="Default"/>
            </w:pPr>
            <w:r w:rsidRPr="00565D8E">
              <w:t>HT</w:t>
            </w:r>
          </w:p>
        </w:tc>
      </w:tr>
      <w:tr w:rsidR="00E056D0" w:rsidTr="00C41F6E">
        <w:tc>
          <w:tcPr>
            <w:tcW w:w="3227" w:type="dxa"/>
          </w:tcPr>
          <w:p w:rsidR="00E056D0" w:rsidRPr="00565D8E" w:rsidRDefault="00E056D0" w:rsidP="00C41F6E">
            <w:pPr>
              <w:pStyle w:val="Default"/>
            </w:pPr>
            <w:r w:rsidRPr="00565D8E">
              <w:t>All parents and children are able to share information with the school.</w:t>
            </w:r>
          </w:p>
        </w:tc>
        <w:tc>
          <w:tcPr>
            <w:tcW w:w="3118" w:type="dxa"/>
          </w:tcPr>
          <w:p w:rsidR="00E056D0" w:rsidRPr="00565D8E" w:rsidRDefault="00940FDF" w:rsidP="00C41F6E">
            <w:pPr>
              <w:pStyle w:val="Default"/>
            </w:pPr>
            <w:r w:rsidRPr="00565D8E">
              <w:t>SEND support services available for EAL &amp; physical disabilities.</w:t>
            </w:r>
          </w:p>
          <w:p w:rsidR="00E056D0" w:rsidRPr="00565D8E" w:rsidRDefault="00940FDF" w:rsidP="00C41F6E">
            <w:pPr>
              <w:pStyle w:val="Default"/>
            </w:pPr>
            <w:r w:rsidRPr="00565D8E">
              <w:t>Staff to receive M</w:t>
            </w:r>
            <w:r w:rsidR="00E056D0" w:rsidRPr="00565D8E">
              <w:t>akaton training as required.</w:t>
            </w:r>
          </w:p>
          <w:p w:rsidR="00E056D0" w:rsidRPr="00565D8E" w:rsidRDefault="00E056D0" w:rsidP="00C41F6E">
            <w:pPr>
              <w:pStyle w:val="Default"/>
            </w:pPr>
            <w:r w:rsidRPr="00565D8E">
              <w:t>All school brochures, newsletters and information are available in alternative formats if requested and available on the website.</w:t>
            </w:r>
          </w:p>
        </w:tc>
        <w:tc>
          <w:tcPr>
            <w:tcW w:w="1985" w:type="dxa"/>
          </w:tcPr>
          <w:p w:rsidR="00E056D0" w:rsidRPr="00565D8E" w:rsidRDefault="00B923BF" w:rsidP="005C440F">
            <w:pPr>
              <w:pStyle w:val="Default"/>
            </w:pPr>
            <w:r>
              <w:t>Ongoing</w:t>
            </w:r>
          </w:p>
        </w:tc>
        <w:tc>
          <w:tcPr>
            <w:tcW w:w="1701" w:type="dxa"/>
          </w:tcPr>
          <w:p w:rsidR="00E056D0" w:rsidRPr="00565D8E" w:rsidRDefault="000B3D54" w:rsidP="00C41F6E">
            <w:pPr>
              <w:pStyle w:val="Default"/>
            </w:pPr>
            <w:r w:rsidRPr="00565D8E">
              <w:t>Alternative formats of information</w:t>
            </w:r>
          </w:p>
        </w:tc>
        <w:tc>
          <w:tcPr>
            <w:tcW w:w="1780" w:type="dxa"/>
          </w:tcPr>
          <w:p w:rsidR="00E056D0" w:rsidRPr="00565D8E" w:rsidRDefault="000B3D54" w:rsidP="00C41F6E">
            <w:pPr>
              <w:pStyle w:val="Default"/>
            </w:pPr>
            <w:r w:rsidRPr="00565D8E">
              <w:t>HT</w:t>
            </w:r>
          </w:p>
          <w:p w:rsidR="000B3D54" w:rsidRPr="00565D8E" w:rsidRDefault="000B3D54" w:rsidP="00C41F6E">
            <w:pPr>
              <w:pStyle w:val="Default"/>
            </w:pPr>
            <w:r w:rsidRPr="00565D8E">
              <w:t>Office Manager</w:t>
            </w:r>
          </w:p>
        </w:tc>
        <w:tc>
          <w:tcPr>
            <w:tcW w:w="2363" w:type="dxa"/>
          </w:tcPr>
          <w:p w:rsidR="00E056D0" w:rsidRDefault="00D25470" w:rsidP="00C41F6E">
            <w:pPr>
              <w:pStyle w:val="Default"/>
            </w:pPr>
            <w:r>
              <w:t>Makaton basic training Sept 18.</w:t>
            </w:r>
          </w:p>
          <w:p w:rsidR="00D25470" w:rsidRDefault="00D25470" w:rsidP="00C41F6E">
            <w:pPr>
              <w:pStyle w:val="Default"/>
            </w:pPr>
          </w:p>
          <w:p w:rsidR="00D25470" w:rsidRPr="00565D8E" w:rsidRDefault="00D25470" w:rsidP="00C41F6E">
            <w:pPr>
              <w:pStyle w:val="Default"/>
            </w:pPr>
            <w:r>
              <w:t>HT monitor.</w:t>
            </w:r>
          </w:p>
        </w:tc>
      </w:tr>
    </w:tbl>
    <w:p w:rsidR="00E056D0" w:rsidRDefault="00E056D0"/>
    <w:p w:rsidR="00565D8E" w:rsidRDefault="00565D8E">
      <w:pPr>
        <w:rPr>
          <w:b/>
          <w:sz w:val="32"/>
          <w:szCs w:val="32"/>
        </w:rPr>
      </w:pPr>
    </w:p>
    <w:p w:rsidR="00565D8E" w:rsidRDefault="00565D8E">
      <w:pPr>
        <w:rPr>
          <w:b/>
          <w:sz w:val="32"/>
          <w:szCs w:val="32"/>
        </w:rPr>
      </w:pPr>
    </w:p>
    <w:p w:rsidR="00A37F15" w:rsidRDefault="00565D8E">
      <w:pPr>
        <w:rPr>
          <w:b/>
          <w:sz w:val="32"/>
          <w:szCs w:val="32"/>
        </w:rPr>
      </w:pPr>
      <w:r>
        <w:rPr>
          <w:b/>
          <w:sz w:val="32"/>
          <w:szCs w:val="32"/>
        </w:rPr>
        <w:t>Priority list</w:t>
      </w:r>
      <w:r w:rsidR="00A37F15" w:rsidRPr="00A73A08">
        <w:rPr>
          <w:b/>
          <w:sz w:val="32"/>
          <w:szCs w:val="32"/>
        </w:rPr>
        <w:t xml:space="preserve"> from focus group, 6</w:t>
      </w:r>
      <w:r w:rsidR="00A37F15" w:rsidRPr="00A73A08">
        <w:rPr>
          <w:b/>
          <w:sz w:val="32"/>
          <w:szCs w:val="32"/>
          <w:vertAlign w:val="superscript"/>
        </w:rPr>
        <w:t>th</w:t>
      </w:r>
      <w:r w:rsidR="00A37F15" w:rsidRPr="00A73A08">
        <w:rPr>
          <w:b/>
          <w:sz w:val="32"/>
          <w:szCs w:val="32"/>
        </w:rPr>
        <w:t xml:space="preserve"> March 2018</w:t>
      </w:r>
    </w:p>
    <w:p w:rsidR="00D25470" w:rsidRPr="00A73A08" w:rsidRDefault="00D25470">
      <w:pPr>
        <w:rPr>
          <w:b/>
          <w:sz w:val="32"/>
          <w:szCs w:val="32"/>
        </w:rPr>
      </w:pPr>
      <w:r>
        <w:rPr>
          <w:b/>
          <w:sz w:val="32"/>
          <w:szCs w:val="32"/>
        </w:rPr>
        <w:t>Evaluated</w:t>
      </w:r>
      <w:r w:rsidR="002F5562">
        <w:rPr>
          <w:b/>
          <w:sz w:val="32"/>
          <w:szCs w:val="32"/>
        </w:rPr>
        <w:t xml:space="preserve"> (RAG rated)</w:t>
      </w:r>
      <w:r>
        <w:rPr>
          <w:b/>
          <w:sz w:val="32"/>
          <w:szCs w:val="32"/>
        </w:rPr>
        <w:t xml:space="preserve"> 20</w:t>
      </w:r>
      <w:r w:rsidRPr="00D25470">
        <w:rPr>
          <w:b/>
          <w:sz w:val="32"/>
          <w:szCs w:val="32"/>
          <w:vertAlign w:val="superscript"/>
        </w:rPr>
        <w:t>th</w:t>
      </w:r>
      <w:r>
        <w:rPr>
          <w:b/>
          <w:sz w:val="32"/>
          <w:szCs w:val="32"/>
        </w:rPr>
        <w:t xml:space="preserve"> May 2019</w:t>
      </w:r>
      <w:r w:rsidR="002F5562">
        <w:rPr>
          <w:b/>
          <w:sz w:val="32"/>
          <w:szCs w:val="32"/>
        </w:rPr>
        <w:t xml:space="preserve"> </w:t>
      </w:r>
    </w:p>
    <w:tbl>
      <w:tblPr>
        <w:tblStyle w:val="TableGrid"/>
        <w:tblW w:w="0" w:type="auto"/>
        <w:tblLook w:val="04A0"/>
      </w:tblPr>
      <w:tblGrid>
        <w:gridCol w:w="5637"/>
        <w:gridCol w:w="4536"/>
        <w:gridCol w:w="4001"/>
      </w:tblGrid>
      <w:tr w:rsidR="00A37F15" w:rsidTr="00A37F15">
        <w:tc>
          <w:tcPr>
            <w:tcW w:w="5637" w:type="dxa"/>
          </w:tcPr>
          <w:p w:rsidR="00A37F15" w:rsidRPr="00A37F15" w:rsidRDefault="00A37F15">
            <w:pPr>
              <w:rPr>
                <w:b/>
              </w:rPr>
            </w:pPr>
            <w:r w:rsidRPr="00A37F15">
              <w:rPr>
                <w:b/>
              </w:rPr>
              <w:t>Issue</w:t>
            </w:r>
          </w:p>
        </w:tc>
        <w:tc>
          <w:tcPr>
            <w:tcW w:w="4536" w:type="dxa"/>
          </w:tcPr>
          <w:p w:rsidR="00A37F15" w:rsidRPr="00A37F15" w:rsidRDefault="00A37F15">
            <w:pPr>
              <w:rPr>
                <w:b/>
              </w:rPr>
            </w:pPr>
            <w:r w:rsidRPr="00A37F15">
              <w:rPr>
                <w:b/>
              </w:rPr>
              <w:t>Action</w:t>
            </w:r>
          </w:p>
        </w:tc>
        <w:tc>
          <w:tcPr>
            <w:tcW w:w="4001" w:type="dxa"/>
          </w:tcPr>
          <w:p w:rsidR="00A37F15" w:rsidRPr="00A37F15" w:rsidRDefault="00A37F15">
            <w:pPr>
              <w:rPr>
                <w:b/>
              </w:rPr>
            </w:pPr>
            <w:r w:rsidRPr="00A37F15">
              <w:rPr>
                <w:b/>
              </w:rPr>
              <w:t>Impact</w:t>
            </w:r>
          </w:p>
        </w:tc>
      </w:tr>
      <w:tr w:rsidR="00A37F15" w:rsidTr="00B923BF">
        <w:tc>
          <w:tcPr>
            <w:tcW w:w="5637" w:type="dxa"/>
            <w:shd w:val="clear" w:color="auto" w:fill="FFFF00"/>
          </w:tcPr>
          <w:p w:rsidR="00A37F15" w:rsidRPr="00BA1EB2" w:rsidRDefault="00A37F15" w:rsidP="005E7679">
            <w:r w:rsidRPr="00BA1EB2">
              <w:t>Y4</w:t>
            </w:r>
            <w:r w:rsidR="00807B23">
              <w:t xml:space="preserve"> and 1</w:t>
            </w:r>
            <w:r w:rsidRPr="00BA1EB2">
              <w:t xml:space="preserve"> fire exit – steps</w:t>
            </w:r>
          </w:p>
        </w:tc>
        <w:tc>
          <w:tcPr>
            <w:tcW w:w="4536" w:type="dxa"/>
          </w:tcPr>
          <w:p w:rsidR="00A37F15" w:rsidRDefault="00A37F15">
            <w:r>
              <w:t>Evaluate suitability for ramp</w:t>
            </w:r>
            <w:r w:rsidR="005B479B">
              <w:t xml:space="preserve"> installation</w:t>
            </w:r>
          </w:p>
        </w:tc>
        <w:tc>
          <w:tcPr>
            <w:tcW w:w="4001" w:type="dxa"/>
          </w:tcPr>
          <w:p w:rsidR="00A37F15" w:rsidRDefault="00807B23">
            <w:r>
              <w:t>Emergency exit accessible to all</w:t>
            </w:r>
            <w:r w:rsidR="00B923BF">
              <w:t xml:space="preserve">- Fire check- </w:t>
            </w:r>
            <w:r w:rsidR="00B923BF" w:rsidRPr="00B923BF">
              <w:rPr>
                <w:color w:val="4F81BD" w:themeColor="accent1"/>
                <w:sz w:val="20"/>
              </w:rPr>
              <w:t xml:space="preserve">Aut </w:t>
            </w:r>
            <w:r w:rsidR="00B923BF">
              <w:rPr>
                <w:color w:val="4F81BD" w:themeColor="accent1"/>
                <w:sz w:val="20"/>
              </w:rPr>
              <w:t xml:space="preserve">Fire check </w:t>
            </w:r>
            <w:r w:rsidR="00B923BF" w:rsidRPr="00B923BF">
              <w:rPr>
                <w:color w:val="4F81BD" w:themeColor="accent1"/>
                <w:sz w:val="20"/>
              </w:rPr>
              <w:t>2018 Officer happy with access. Y4 access too narrow for ramp</w:t>
            </w:r>
          </w:p>
        </w:tc>
      </w:tr>
      <w:tr w:rsidR="00A37F15" w:rsidTr="00B923BF">
        <w:tc>
          <w:tcPr>
            <w:tcW w:w="5637" w:type="dxa"/>
            <w:shd w:val="clear" w:color="auto" w:fill="FFFF00"/>
          </w:tcPr>
          <w:p w:rsidR="00A37F15" w:rsidRPr="00BA1EB2" w:rsidRDefault="00A37F15" w:rsidP="005E7679">
            <w:r w:rsidRPr="00BA1EB2">
              <w:t>Y3 fire exit –</w:t>
            </w:r>
            <w:r>
              <w:t>step and</w:t>
            </w:r>
            <w:r w:rsidRPr="00BA1EB2">
              <w:t xml:space="preserve"> not wide enough</w:t>
            </w:r>
          </w:p>
        </w:tc>
        <w:tc>
          <w:tcPr>
            <w:tcW w:w="4536" w:type="dxa"/>
          </w:tcPr>
          <w:p w:rsidR="00A37F15" w:rsidRDefault="00807B23">
            <w:r>
              <w:t>Assess for alternative exit arrangement</w:t>
            </w:r>
          </w:p>
        </w:tc>
        <w:tc>
          <w:tcPr>
            <w:tcW w:w="4001" w:type="dxa"/>
          </w:tcPr>
          <w:p w:rsidR="00A37F15" w:rsidRDefault="00807B23" w:rsidP="00B923BF">
            <w:r>
              <w:t>Emergency exit accessible to all</w:t>
            </w:r>
            <w:r w:rsidR="00B923BF">
              <w:t xml:space="preserve">- </w:t>
            </w:r>
            <w:r w:rsidR="00B923BF" w:rsidRPr="00B923BF">
              <w:rPr>
                <w:color w:val="4F81BD" w:themeColor="accent1"/>
                <w:sz w:val="20"/>
              </w:rPr>
              <w:t xml:space="preserve">Aut </w:t>
            </w:r>
            <w:r w:rsidR="00B923BF">
              <w:rPr>
                <w:color w:val="4F81BD" w:themeColor="accent1"/>
                <w:sz w:val="20"/>
              </w:rPr>
              <w:t xml:space="preserve">Fire check </w:t>
            </w:r>
            <w:r w:rsidR="00B923BF" w:rsidRPr="00B923BF">
              <w:rPr>
                <w:color w:val="4F81BD" w:themeColor="accent1"/>
                <w:sz w:val="20"/>
              </w:rPr>
              <w:t>2018 Officer happy with access</w:t>
            </w:r>
            <w:r w:rsidR="00B923BF">
              <w:rPr>
                <w:color w:val="4F81BD" w:themeColor="accent1"/>
                <w:sz w:val="20"/>
              </w:rPr>
              <w:t xml:space="preserve"> for purpose –due to short walk before space and alternative access points</w:t>
            </w:r>
          </w:p>
        </w:tc>
      </w:tr>
      <w:tr w:rsidR="00A37F15" w:rsidTr="00D25470">
        <w:tc>
          <w:tcPr>
            <w:tcW w:w="5637" w:type="dxa"/>
            <w:shd w:val="clear" w:color="auto" w:fill="FF0000"/>
          </w:tcPr>
          <w:p w:rsidR="00A37F15" w:rsidRPr="00BA1EB2" w:rsidRDefault="00A37F15" w:rsidP="00A37F15">
            <w:r w:rsidRPr="00BA1EB2">
              <w:t xml:space="preserve">Main entrance – steps and heavy door. </w:t>
            </w:r>
          </w:p>
        </w:tc>
        <w:tc>
          <w:tcPr>
            <w:tcW w:w="4536" w:type="dxa"/>
          </w:tcPr>
          <w:p w:rsidR="00A37F15" w:rsidRDefault="00A37F15">
            <w:r>
              <w:t>Evaluate suitability for ramp and push access</w:t>
            </w:r>
          </w:p>
        </w:tc>
        <w:tc>
          <w:tcPr>
            <w:tcW w:w="4001" w:type="dxa"/>
          </w:tcPr>
          <w:p w:rsidR="00A37F15" w:rsidRDefault="00A37F15">
            <w:r>
              <w:t>Building accessible to all</w:t>
            </w:r>
          </w:p>
        </w:tc>
      </w:tr>
      <w:tr w:rsidR="00A37F15" w:rsidTr="00D25470">
        <w:tc>
          <w:tcPr>
            <w:tcW w:w="5637" w:type="dxa"/>
            <w:shd w:val="clear" w:color="auto" w:fill="FF0000"/>
          </w:tcPr>
          <w:p w:rsidR="00A37F15" w:rsidRPr="00BA1EB2" w:rsidRDefault="00A37F15" w:rsidP="005E7679">
            <w:r w:rsidRPr="00BA1EB2">
              <w:t>Side entrance to yard – step</w:t>
            </w:r>
          </w:p>
        </w:tc>
        <w:tc>
          <w:tcPr>
            <w:tcW w:w="4536" w:type="dxa"/>
          </w:tcPr>
          <w:p w:rsidR="00A37F15" w:rsidRDefault="00807B23">
            <w:r>
              <w:t>Evaluate suitability for small ramp</w:t>
            </w:r>
          </w:p>
        </w:tc>
        <w:tc>
          <w:tcPr>
            <w:tcW w:w="4001" w:type="dxa"/>
          </w:tcPr>
          <w:p w:rsidR="00A37F15" w:rsidRDefault="00807B23">
            <w:r>
              <w:t>Yard accessible to all</w:t>
            </w:r>
          </w:p>
        </w:tc>
      </w:tr>
      <w:tr w:rsidR="00A37F15" w:rsidTr="00B923BF">
        <w:tc>
          <w:tcPr>
            <w:tcW w:w="5637" w:type="dxa"/>
            <w:shd w:val="clear" w:color="auto" w:fill="FFFF00"/>
          </w:tcPr>
          <w:p w:rsidR="00A37F15" w:rsidRPr="00B923BF" w:rsidRDefault="00A37F15" w:rsidP="005E7679">
            <w:pPr>
              <w:rPr>
                <w:color w:val="1F497D" w:themeColor="text2"/>
              </w:rPr>
            </w:pPr>
            <w:r w:rsidRPr="00BA1EB2">
              <w:t>Nursery side entrance – very high/6 steps</w:t>
            </w:r>
          </w:p>
        </w:tc>
        <w:tc>
          <w:tcPr>
            <w:tcW w:w="4536" w:type="dxa"/>
          </w:tcPr>
          <w:p w:rsidR="00A37F15" w:rsidRPr="00B923BF" w:rsidRDefault="00807B23">
            <w:pPr>
              <w:rPr>
                <w:color w:val="1F497D" w:themeColor="text2"/>
              </w:rPr>
            </w:pPr>
            <w:r>
              <w:t>Evaluate suitability for ramp</w:t>
            </w:r>
            <w:r w:rsidR="00B923BF">
              <w:t xml:space="preserve">- </w:t>
            </w:r>
            <w:r w:rsidR="00B923BF">
              <w:rPr>
                <w:color w:val="1F497D" w:themeColor="text2"/>
              </w:rPr>
              <w:t>assessed but steps remain- new handrail fitted</w:t>
            </w:r>
          </w:p>
        </w:tc>
        <w:tc>
          <w:tcPr>
            <w:tcW w:w="4001" w:type="dxa"/>
          </w:tcPr>
          <w:p w:rsidR="00A37F15" w:rsidRDefault="00807B23">
            <w:r>
              <w:t>Nursery yard accessible to all</w:t>
            </w:r>
          </w:p>
        </w:tc>
      </w:tr>
      <w:tr w:rsidR="00A37F15" w:rsidTr="00B923BF">
        <w:tc>
          <w:tcPr>
            <w:tcW w:w="5637" w:type="dxa"/>
            <w:shd w:val="clear" w:color="auto" w:fill="00B050"/>
          </w:tcPr>
          <w:p w:rsidR="00A37F15" w:rsidRPr="00BA1EB2" w:rsidRDefault="00A37F15" w:rsidP="005E7679">
            <w:r w:rsidRPr="00BA1EB2">
              <w:t>Nursery cloakroom/kitchen – 2 steps</w:t>
            </w:r>
          </w:p>
        </w:tc>
        <w:tc>
          <w:tcPr>
            <w:tcW w:w="4536" w:type="dxa"/>
          </w:tcPr>
          <w:p w:rsidR="00A37F15" w:rsidRDefault="00807B23">
            <w:r>
              <w:t>Evaluate suitability for ramp</w:t>
            </w:r>
            <w:r w:rsidR="00B923BF">
              <w:t xml:space="preserve"> – </w:t>
            </w:r>
            <w:r w:rsidR="00B923BF" w:rsidRPr="00B923BF">
              <w:rPr>
                <w:color w:val="1F497D" w:themeColor="text2"/>
              </w:rPr>
              <w:t xml:space="preserve">ramp </w:t>
            </w:r>
            <w:r w:rsidR="00B923BF">
              <w:rPr>
                <w:color w:val="1F497D" w:themeColor="text2"/>
              </w:rPr>
              <w:t>has been fitted. Summer 2018</w:t>
            </w:r>
          </w:p>
        </w:tc>
        <w:tc>
          <w:tcPr>
            <w:tcW w:w="4001" w:type="dxa"/>
          </w:tcPr>
          <w:p w:rsidR="00A37F15" w:rsidRDefault="00807B23">
            <w:r>
              <w:t>Cloakroom accessible to all</w:t>
            </w:r>
          </w:p>
        </w:tc>
      </w:tr>
      <w:tr w:rsidR="00A37F15" w:rsidTr="00B923BF">
        <w:tc>
          <w:tcPr>
            <w:tcW w:w="5637" w:type="dxa"/>
            <w:shd w:val="clear" w:color="auto" w:fill="00B050"/>
          </w:tcPr>
          <w:p w:rsidR="00A37F15" w:rsidRPr="00BA1EB2" w:rsidRDefault="00A37F15" w:rsidP="005E7679">
            <w:r w:rsidRPr="00BA1EB2">
              <w:t>Reception toilets – steps</w:t>
            </w:r>
          </w:p>
        </w:tc>
        <w:tc>
          <w:tcPr>
            <w:tcW w:w="4536" w:type="dxa"/>
          </w:tcPr>
          <w:p w:rsidR="00A37F15" w:rsidRDefault="00807B23">
            <w:r>
              <w:t>Evaluate suitability for ramp</w:t>
            </w:r>
          </w:p>
        </w:tc>
        <w:tc>
          <w:tcPr>
            <w:tcW w:w="4001" w:type="dxa"/>
          </w:tcPr>
          <w:p w:rsidR="00A37F15" w:rsidRPr="00B923BF" w:rsidRDefault="00807B23">
            <w:pPr>
              <w:rPr>
                <w:color w:val="1F497D" w:themeColor="text2"/>
              </w:rPr>
            </w:pPr>
            <w:r>
              <w:t>Reception toilets accessible to all</w:t>
            </w:r>
            <w:r w:rsidR="00B923BF">
              <w:t xml:space="preserve"> </w:t>
            </w:r>
            <w:r w:rsidR="00B923BF" w:rsidRPr="00B923BF">
              <w:rPr>
                <w:color w:val="1F497D" w:themeColor="text2"/>
                <w:sz w:val="20"/>
              </w:rPr>
              <w:t>Ramp size would impact</w:t>
            </w:r>
            <w:r w:rsidR="00B923BF">
              <w:rPr>
                <w:color w:val="1F497D" w:themeColor="text2"/>
              </w:rPr>
              <w:t xml:space="preserve"> </w:t>
            </w:r>
            <w:r w:rsidR="00B923BF" w:rsidRPr="00B923BF">
              <w:rPr>
                <w:color w:val="1F497D" w:themeColor="text2"/>
                <w:sz w:val="20"/>
              </w:rPr>
              <w:t>on classroom</w:t>
            </w:r>
            <w:r w:rsidR="00B923BF">
              <w:rPr>
                <w:color w:val="1F497D" w:themeColor="text2"/>
                <w:sz w:val="20"/>
              </w:rPr>
              <w:t xml:space="preserve"> practice</w:t>
            </w:r>
          </w:p>
        </w:tc>
      </w:tr>
      <w:tr w:rsidR="00A37F15" w:rsidTr="00B923BF">
        <w:tc>
          <w:tcPr>
            <w:tcW w:w="5637" w:type="dxa"/>
            <w:shd w:val="clear" w:color="auto" w:fill="00B050"/>
          </w:tcPr>
          <w:p w:rsidR="00A37F15" w:rsidRPr="00BA1EB2" w:rsidRDefault="00A37F15" w:rsidP="005E7679">
            <w:r w:rsidRPr="00BA1EB2">
              <w:t>Fire exits Reception &amp; Y2?</w:t>
            </w:r>
          </w:p>
        </w:tc>
        <w:tc>
          <w:tcPr>
            <w:tcW w:w="4536" w:type="dxa"/>
          </w:tcPr>
          <w:p w:rsidR="00A37F15" w:rsidRDefault="00807B23">
            <w:r>
              <w:t>Assess for alternative exit arrangements</w:t>
            </w:r>
          </w:p>
        </w:tc>
        <w:tc>
          <w:tcPr>
            <w:tcW w:w="4001" w:type="dxa"/>
          </w:tcPr>
          <w:p w:rsidR="00A37F15" w:rsidRDefault="00807B23">
            <w:r>
              <w:t>Emergency exit available</w:t>
            </w:r>
            <w:r w:rsidR="00B923BF">
              <w:t xml:space="preserve">- </w:t>
            </w:r>
            <w:r w:rsidR="00B923BF" w:rsidRPr="00B923BF">
              <w:rPr>
                <w:color w:val="1F497D" w:themeColor="text2"/>
                <w:sz w:val="20"/>
              </w:rPr>
              <w:t>Fire check Aut 2018- Officer happy with alternative routes</w:t>
            </w:r>
          </w:p>
        </w:tc>
      </w:tr>
      <w:tr w:rsidR="00A37F15" w:rsidTr="00B923BF">
        <w:tc>
          <w:tcPr>
            <w:tcW w:w="5637" w:type="dxa"/>
            <w:shd w:val="clear" w:color="auto" w:fill="FFFF00"/>
          </w:tcPr>
          <w:p w:rsidR="00A37F15" w:rsidRPr="00BA1EB2" w:rsidRDefault="00A37F15" w:rsidP="005E7679">
            <w:r w:rsidRPr="00BA1EB2">
              <w:t>Mobile classrooms – card entry – safeguarding?</w:t>
            </w:r>
          </w:p>
        </w:tc>
        <w:tc>
          <w:tcPr>
            <w:tcW w:w="4536" w:type="dxa"/>
          </w:tcPr>
          <w:p w:rsidR="00A37F15" w:rsidRDefault="00807B23">
            <w:r>
              <w:t>Assess for installing key card entry</w:t>
            </w:r>
          </w:p>
        </w:tc>
        <w:tc>
          <w:tcPr>
            <w:tcW w:w="4001" w:type="dxa"/>
          </w:tcPr>
          <w:p w:rsidR="00A37F15" w:rsidRDefault="00807B23">
            <w:r>
              <w:t>Safeguarding KS2</w:t>
            </w:r>
            <w:r w:rsidR="00B923BF">
              <w:t xml:space="preserve"> </w:t>
            </w:r>
            <w:r w:rsidR="00B923BF" w:rsidRPr="00B923BF">
              <w:rPr>
                <w:color w:val="4F81BD" w:themeColor="accent1"/>
                <w:sz w:val="20"/>
              </w:rPr>
              <w:t>All KS2 staff have a key/ Lock when not in use</w:t>
            </w:r>
          </w:p>
        </w:tc>
      </w:tr>
      <w:tr w:rsidR="00A37F15" w:rsidTr="00D25470">
        <w:tc>
          <w:tcPr>
            <w:tcW w:w="5637" w:type="dxa"/>
            <w:shd w:val="clear" w:color="auto" w:fill="00B050"/>
          </w:tcPr>
          <w:p w:rsidR="00A37F15" w:rsidRPr="00BA1EB2" w:rsidRDefault="00A37F15" w:rsidP="005E7679">
            <w:r w:rsidRPr="00BA1EB2">
              <w:t>Supervision for lunch times</w:t>
            </w:r>
          </w:p>
        </w:tc>
        <w:tc>
          <w:tcPr>
            <w:tcW w:w="4536" w:type="dxa"/>
          </w:tcPr>
          <w:p w:rsidR="00A37F15" w:rsidRDefault="00807B23">
            <w:r>
              <w:t>Identify staff to supervise kitchen hatch area</w:t>
            </w:r>
          </w:p>
        </w:tc>
        <w:tc>
          <w:tcPr>
            <w:tcW w:w="4001" w:type="dxa"/>
          </w:tcPr>
          <w:p w:rsidR="00A37F15" w:rsidRDefault="00807B23">
            <w:r>
              <w:t>Safe and accessible lunch times for all</w:t>
            </w:r>
          </w:p>
        </w:tc>
      </w:tr>
      <w:tr w:rsidR="00A37F15" w:rsidTr="00D25470">
        <w:tc>
          <w:tcPr>
            <w:tcW w:w="5637" w:type="dxa"/>
            <w:shd w:val="clear" w:color="auto" w:fill="FF0000"/>
          </w:tcPr>
          <w:p w:rsidR="00A37F15" w:rsidRPr="00BA1EB2" w:rsidRDefault="00A37F15" w:rsidP="005E7679">
            <w:r w:rsidRPr="00BA1EB2">
              <w:t>Braille book</w:t>
            </w:r>
            <w:r w:rsidR="00807B23">
              <w:t>s</w:t>
            </w:r>
          </w:p>
        </w:tc>
        <w:tc>
          <w:tcPr>
            <w:tcW w:w="4536" w:type="dxa"/>
          </w:tcPr>
          <w:p w:rsidR="00A37F15" w:rsidRDefault="00807B23">
            <w:r>
              <w:t>Identify whether this would be a possibility and where to obtain items and equipment</w:t>
            </w:r>
          </w:p>
        </w:tc>
        <w:tc>
          <w:tcPr>
            <w:tcW w:w="4001" w:type="dxa"/>
          </w:tcPr>
          <w:p w:rsidR="00A37F15" w:rsidRDefault="00807B23">
            <w:r>
              <w:t>Curriculum accessible to all</w:t>
            </w:r>
          </w:p>
        </w:tc>
      </w:tr>
      <w:tr w:rsidR="00A37F15" w:rsidTr="00D25470">
        <w:tc>
          <w:tcPr>
            <w:tcW w:w="5637" w:type="dxa"/>
            <w:shd w:val="clear" w:color="auto" w:fill="FF0000"/>
          </w:tcPr>
          <w:p w:rsidR="00A37F15" w:rsidRPr="00BA1EB2" w:rsidRDefault="00A37F15" w:rsidP="005E7679">
            <w:r w:rsidRPr="00BA1EB2">
              <w:t>Nurture room needs to be accessible to Y3 and 4</w:t>
            </w:r>
            <w:r w:rsidR="00807B23">
              <w:t xml:space="preserve">; </w:t>
            </w:r>
            <w:r w:rsidR="00807B23" w:rsidRPr="00BA1EB2">
              <w:t>Steps to nurture room/fire exit door</w:t>
            </w:r>
          </w:p>
        </w:tc>
        <w:tc>
          <w:tcPr>
            <w:tcW w:w="4536" w:type="dxa"/>
          </w:tcPr>
          <w:p w:rsidR="00A37F15" w:rsidRDefault="00807B23">
            <w:r>
              <w:t>Evaluate suitability for yard access – ramp and key card entry</w:t>
            </w:r>
          </w:p>
        </w:tc>
        <w:tc>
          <w:tcPr>
            <w:tcW w:w="4001" w:type="dxa"/>
          </w:tcPr>
          <w:p w:rsidR="00A37F15" w:rsidRDefault="00807B23">
            <w:r>
              <w:t>Nurture and emergency exit accessible to all</w:t>
            </w:r>
          </w:p>
        </w:tc>
      </w:tr>
      <w:tr w:rsidR="00A37F15" w:rsidTr="00B923BF">
        <w:tc>
          <w:tcPr>
            <w:tcW w:w="5637" w:type="dxa"/>
            <w:shd w:val="clear" w:color="auto" w:fill="FFFF00"/>
          </w:tcPr>
          <w:p w:rsidR="00A37F15" w:rsidRPr="00BA1EB2" w:rsidRDefault="00A37F15" w:rsidP="005E7679">
            <w:r w:rsidRPr="00BA1EB2">
              <w:t>No toilets in KS2 area</w:t>
            </w:r>
          </w:p>
        </w:tc>
        <w:tc>
          <w:tcPr>
            <w:tcW w:w="4536" w:type="dxa"/>
          </w:tcPr>
          <w:p w:rsidR="00A37F15" w:rsidRDefault="00807B23">
            <w:r>
              <w:t>Evaluate possibility of adding toilet facility</w:t>
            </w:r>
          </w:p>
        </w:tc>
        <w:tc>
          <w:tcPr>
            <w:tcW w:w="4001" w:type="dxa"/>
          </w:tcPr>
          <w:p w:rsidR="00A37F15" w:rsidRDefault="00807B23">
            <w:r>
              <w:t>KS2 accessible to all</w:t>
            </w:r>
            <w:r w:rsidR="00B923BF">
              <w:t xml:space="preserve"> </w:t>
            </w:r>
            <w:r w:rsidR="00B923BF" w:rsidRPr="00B923BF">
              <w:rPr>
                <w:color w:val="4F81BD" w:themeColor="accent1"/>
              </w:rPr>
              <w:t>Investigated- too costly at present</w:t>
            </w:r>
          </w:p>
        </w:tc>
      </w:tr>
      <w:tr w:rsidR="00A37F15" w:rsidTr="00D25470">
        <w:tc>
          <w:tcPr>
            <w:tcW w:w="5637" w:type="dxa"/>
            <w:shd w:val="clear" w:color="auto" w:fill="00B050"/>
          </w:tcPr>
          <w:p w:rsidR="00A37F15" w:rsidRPr="00BA1EB2" w:rsidRDefault="00A37F15" w:rsidP="005E7679">
            <w:r w:rsidRPr="00BA1EB2">
              <w:t>Lost cement/trip hazard next to playground steps</w:t>
            </w:r>
          </w:p>
        </w:tc>
        <w:tc>
          <w:tcPr>
            <w:tcW w:w="4536" w:type="dxa"/>
          </w:tcPr>
          <w:p w:rsidR="00A37F15" w:rsidRDefault="005B479B">
            <w:r>
              <w:t>Repair damaged floor</w:t>
            </w:r>
          </w:p>
        </w:tc>
        <w:tc>
          <w:tcPr>
            <w:tcW w:w="4001" w:type="dxa"/>
          </w:tcPr>
          <w:p w:rsidR="00A37F15" w:rsidRDefault="005B479B">
            <w:r>
              <w:t>Safe access for all</w:t>
            </w:r>
          </w:p>
        </w:tc>
      </w:tr>
      <w:tr w:rsidR="00A37F15" w:rsidTr="00D25470">
        <w:tc>
          <w:tcPr>
            <w:tcW w:w="5637" w:type="dxa"/>
            <w:shd w:val="clear" w:color="auto" w:fill="FFC000"/>
          </w:tcPr>
          <w:p w:rsidR="00A37F15" w:rsidRPr="00BA1EB2" w:rsidRDefault="00A37F15" w:rsidP="005E7679">
            <w:r w:rsidRPr="00BA1EB2">
              <w:t>More sensory toys on yard</w:t>
            </w:r>
          </w:p>
        </w:tc>
        <w:tc>
          <w:tcPr>
            <w:tcW w:w="4536" w:type="dxa"/>
          </w:tcPr>
          <w:p w:rsidR="00A37F15" w:rsidRDefault="005B479B">
            <w:r>
              <w:t xml:space="preserve">Identify and install new toys </w:t>
            </w:r>
          </w:p>
        </w:tc>
        <w:tc>
          <w:tcPr>
            <w:tcW w:w="4001" w:type="dxa"/>
          </w:tcPr>
          <w:p w:rsidR="00A37F15" w:rsidRDefault="005B479B">
            <w:r>
              <w:t>Playtime accessible for all</w:t>
            </w:r>
          </w:p>
        </w:tc>
      </w:tr>
      <w:tr w:rsidR="00A37F15" w:rsidTr="00D25470">
        <w:tc>
          <w:tcPr>
            <w:tcW w:w="5637" w:type="dxa"/>
            <w:shd w:val="clear" w:color="auto" w:fill="00B050"/>
          </w:tcPr>
          <w:p w:rsidR="00A37F15" w:rsidRPr="00BA1EB2" w:rsidRDefault="00A37F15" w:rsidP="005E7679">
            <w:r w:rsidRPr="00BA1EB2">
              <w:t xml:space="preserve">Classrooms – tidy and free </w:t>
            </w:r>
            <w:r w:rsidR="005B479B">
              <w:t>from obstructions</w:t>
            </w:r>
          </w:p>
        </w:tc>
        <w:tc>
          <w:tcPr>
            <w:tcW w:w="4536" w:type="dxa"/>
          </w:tcPr>
          <w:p w:rsidR="00A37F15" w:rsidRDefault="005B479B">
            <w:r>
              <w:t>Learning walk - accessibility</w:t>
            </w:r>
          </w:p>
        </w:tc>
        <w:tc>
          <w:tcPr>
            <w:tcW w:w="4001" w:type="dxa"/>
          </w:tcPr>
          <w:p w:rsidR="00A37F15" w:rsidRDefault="005B479B">
            <w:r>
              <w:t>Classrooms safe and accessible for all</w:t>
            </w:r>
          </w:p>
        </w:tc>
      </w:tr>
      <w:tr w:rsidR="005B479B" w:rsidTr="00D25470">
        <w:tc>
          <w:tcPr>
            <w:tcW w:w="5637" w:type="dxa"/>
            <w:shd w:val="clear" w:color="auto" w:fill="FF0000"/>
          </w:tcPr>
          <w:p w:rsidR="005B479B" w:rsidRPr="00BA1EB2" w:rsidRDefault="005B479B" w:rsidP="005E7679">
            <w:r>
              <w:t>Steps to disabled toilet</w:t>
            </w:r>
          </w:p>
        </w:tc>
        <w:tc>
          <w:tcPr>
            <w:tcW w:w="4536" w:type="dxa"/>
          </w:tcPr>
          <w:p w:rsidR="005B479B" w:rsidRDefault="005B479B">
            <w:r>
              <w:t>Evaluate for ramp access</w:t>
            </w:r>
          </w:p>
        </w:tc>
        <w:tc>
          <w:tcPr>
            <w:tcW w:w="4001" w:type="dxa"/>
          </w:tcPr>
          <w:p w:rsidR="005B479B" w:rsidRDefault="005B479B">
            <w:r>
              <w:t>Disabled toilet accessible for all</w:t>
            </w:r>
          </w:p>
        </w:tc>
      </w:tr>
      <w:tr w:rsidR="00807B23" w:rsidTr="00D25470">
        <w:tc>
          <w:tcPr>
            <w:tcW w:w="5637" w:type="dxa"/>
            <w:shd w:val="clear" w:color="auto" w:fill="FF0000"/>
          </w:tcPr>
          <w:p w:rsidR="00807B23" w:rsidRPr="00BA1EB2" w:rsidRDefault="00807B23" w:rsidP="005E7679">
            <w:r>
              <w:t>Disabled toilet would need water heater to use</w:t>
            </w:r>
          </w:p>
        </w:tc>
        <w:tc>
          <w:tcPr>
            <w:tcW w:w="4536" w:type="dxa"/>
          </w:tcPr>
          <w:p w:rsidR="00807B23" w:rsidRDefault="005B479B">
            <w:r>
              <w:t>Identify cost and installation time for heater</w:t>
            </w:r>
          </w:p>
        </w:tc>
        <w:tc>
          <w:tcPr>
            <w:tcW w:w="4001" w:type="dxa"/>
          </w:tcPr>
          <w:p w:rsidR="00807B23" w:rsidRDefault="005B479B">
            <w:r>
              <w:t>Disabled toilet functional</w:t>
            </w:r>
          </w:p>
        </w:tc>
      </w:tr>
    </w:tbl>
    <w:p w:rsidR="00D25470" w:rsidRPr="00D25470" w:rsidRDefault="00D25470">
      <w:pPr>
        <w:rPr>
          <w:b/>
        </w:rPr>
      </w:pPr>
      <w:r w:rsidRPr="00D25470">
        <w:rPr>
          <w:b/>
        </w:rPr>
        <w:t>NB – all items rated RED are subject to need and would not currently be required.</w:t>
      </w:r>
      <w:bookmarkStart w:id="0" w:name="_GoBack"/>
      <w:bookmarkEnd w:id="0"/>
    </w:p>
    <w:p w:rsidR="00A37F15" w:rsidRDefault="00A37F15"/>
    <w:p w:rsidR="00A37F15" w:rsidRDefault="00A37F15"/>
    <w:sectPr w:rsidR="00A37F15" w:rsidSect="00B0772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00" w:rsidRDefault="00384600" w:rsidP="00927AA0">
      <w:pPr>
        <w:spacing w:after="0" w:line="240" w:lineRule="auto"/>
      </w:pPr>
      <w:r>
        <w:separator/>
      </w:r>
    </w:p>
  </w:endnote>
  <w:endnote w:type="continuationSeparator" w:id="0">
    <w:p w:rsidR="00384600" w:rsidRDefault="00384600" w:rsidP="00927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28" w:rsidRDefault="00B07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577"/>
      <w:docPartObj>
        <w:docPartGallery w:val="Page Numbers (Bottom of Page)"/>
        <w:docPartUnique/>
      </w:docPartObj>
    </w:sdtPr>
    <w:sdtContent>
      <w:p w:rsidR="00927AA0" w:rsidRDefault="00927AA0">
        <w:pPr>
          <w:pStyle w:val="Footer"/>
        </w:pPr>
        <w:r>
          <w:t xml:space="preserve">                                                                                                                                                                                                                  </w:t>
        </w:r>
      </w:p>
      <w:p w:rsidR="00927AA0" w:rsidRDefault="00927AA0">
        <w:pPr>
          <w:pStyle w:val="Footer"/>
        </w:pPr>
      </w:p>
      <w:p w:rsidR="00B07728" w:rsidRDefault="00927AA0" w:rsidP="00B07728">
        <w:pPr>
          <w:pStyle w:val="Footer"/>
        </w:pPr>
        <w:r>
          <w:t xml:space="preserve">                                                                                                                                                                                                                      </w:t>
        </w:r>
      </w:p>
      <w:sdt>
        <w:sdtPr>
          <w:id w:val="8955574"/>
          <w:docPartObj>
            <w:docPartGallery w:val="Page Numbers (Bottom of Page)"/>
            <w:docPartUnique/>
          </w:docPartObj>
        </w:sdtPr>
        <w:sdtContent>
          <w:p w:rsidR="00B07728" w:rsidRPr="00B07728" w:rsidRDefault="00B07728" w:rsidP="00B07728">
            <w:pPr>
              <w:pStyle w:val="Footer"/>
            </w:pPr>
            <w:r>
              <w:t xml:space="preserve">                                                                                                                                                                                                    </w:t>
            </w:r>
            <w:r w:rsidRPr="00B07728">
              <w:rPr>
                <w:noProof/>
              </w:rPr>
              <w:drawing>
                <wp:inline distT="0" distB="0" distL="0" distR="0">
                  <wp:extent cx="304800" cy="30480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w:t>
            </w:r>
            <w:r w:rsidRPr="00545B34">
              <w:rPr>
                <w:rFonts w:ascii="Lucida Handwriting" w:hAnsi="Lucida Handwriting"/>
                <w:i/>
                <w:sz w:val="16"/>
                <w:szCs w:val="16"/>
              </w:rPr>
              <w:t xml:space="preserve"> Respect, happiness and growth</w:t>
            </w:r>
            <w:r>
              <w:rPr>
                <w:rFonts w:ascii="Lucida Handwriting" w:hAnsi="Lucida Handwriting"/>
                <w:i/>
                <w:sz w:val="16"/>
                <w:szCs w:val="16"/>
              </w:rPr>
              <w:t xml:space="preserve">  </w:t>
            </w:r>
            <w:r w:rsidRPr="00545B34">
              <w:rPr>
                <w:rFonts w:ascii="Lucida Handwriting" w:hAnsi="Lucida Handwriting"/>
                <w:i/>
                <w:noProof/>
                <w:sz w:val="16"/>
                <w:szCs w:val="16"/>
              </w:rPr>
              <w:drawing>
                <wp:inline distT="0" distB="0" distL="0" distR="0">
                  <wp:extent cx="304800" cy="304800"/>
                  <wp:effectExtent l="19050" t="0" r="0" b="0"/>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07728" w:rsidRDefault="00B07728" w:rsidP="00B07728">
            <w:pPr>
              <w:pStyle w:val="Footer"/>
            </w:pPr>
            <w:r>
              <w:t xml:space="preserve">                                                                                                                   </w:t>
            </w:r>
            <w:r w:rsidR="000A1FF6" w:rsidRPr="000A1FF6">
              <w:rPr>
                <w:rFonts w:asciiTheme="majorHAnsi" w:hAnsiTheme="majorHAns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4098" type="#_x0000_t176" style="position:absolute;margin-left:0;margin-top:0;width:40.35pt;height:34.75pt;z-index:251662336;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CSh04XlAgAASAYAAA4AAAAAAAAA&#10;AAAAAAAALgIAAGRycy9lMm9Eb2MueG1sUEsBAi0AFAAGAAgAAAAhAOhQmz7dAAAAAwEAAA8AAAAA&#10;AAAAAAAAAAAAPwUAAGRycy9kb3ducmV2LnhtbFBLBQYAAAAABAAEAPMAAABJBgAAAAA=&#10;" filled="f" fillcolor="#4f81bd [3204]" stroked="f" strokecolor="#737373 [1789]">
                  <v:textbox>
                    <w:txbxContent>
                      <w:p w:rsidR="00B07728" w:rsidRDefault="000A1FF6" w:rsidP="00B07728">
                        <w:pPr>
                          <w:pStyle w:val="Footer"/>
                          <w:pBdr>
                            <w:top w:val="single" w:sz="12" w:space="1" w:color="9BBB59" w:themeColor="accent3"/>
                            <w:bottom w:val="single" w:sz="48" w:space="1" w:color="9BBB59" w:themeColor="accent3"/>
                          </w:pBdr>
                          <w:jc w:val="center"/>
                          <w:rPr>
                            <w:sz w:val="28"/>
                            <w:szCs w:val="28"/>
                          </w:rPr>
                        </w:pPr>
                        <w:r w:rsidRPr="000A1FF6">
                          <w:fldChar w:fldCharType="begin"/>
                        </w:r>
                        <w:r w:rsidR="00F56075">
                          <w:instrText xml:space="preserve"> PAGE    \* MERGEFORMAT </w:instrText>
                        </w:r>
                        <w:r w:rsidRPr="000A1FF6">
                          <w:fldChar w:fldCharType="separate"/>
                        </w:r>
                        <w:r w:rsidR="00384600" w:rsidRPr="00384600">
                          <w:rPr>
                            <w:noProof/>
                            <w:sz w:val="28"/>
                            <w:szCs w:val="28"/>
                          </w:rPr>
                          <w:t>1</w:t>
                        </w:r>
                        <w:r>
                          <w:rPr>
                            <w:noProof/>
                            <w:sz w:val="28"/>
                            <w:szCs w:val="28"/>
                          </w:rPr>
                          <w:fldChar w:fldCharType="end"/>
                        </w:r>
                      </w:p>
                    </w:txbxContent>
                  </v:textbox>
                  <w10:wrap anchorx="margin" anchory="margin"/>
                </v:shape>
              </w:pict>
            </w:r>
          </w:p>
        </w:sdtContent>
      </w:sdt>
      <w:p w:rsidR="00927AA0" w:rsidRDefault="000A1FF6">
        <w:pPr>
          <w:pStyle w:val="Footer"/>
        </w:pPr>
        <w:r w:rsidRPr="000A1FF6">
          <w:rPr>
            <w:rFonts w:asciiTheme="majorHAnsi" w:hAnsiTheme="majorHAnsi"/>
            <w:noProof/>
            <w:sz w:val="28"/>
            <w:szCs w:val="28"/>
          </w:rPr>
          <w:pict>
            <v:shape id="AutoShape 1" o:spid="_x0000_s4097" type="#_x0000_t176" style="position:absolute;margin-left:0;margin-top:0;width:40.35pt;height:34.75pt;z-index:25166028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" filled="f" fillcolor="#4f81bd [3204]" stroked="f" strokecolor="#737373 [1789]">
              <v:textbox>
                <w:txbxContent>
                  <w:p w:rsidR="00927AA0" w:rsidRDefault="000A1FF6">
                    <w:pPr>
                      <w:pStyle w:val="Footer"/>
                      <w:pBdr>
                        <w:top w:val="single" w:sz="12" w:space="1" w:color="9BBB59" w:themeColor="accent3"/>
                        <w:bottom w:val="single" w:sz="48" w:space="1" w:color="9BBB59" w:themeColor="accent3"/>
                      </w:pBdr>
                      <w:jc w:val="center"/>
                      <w:rPr>
                        <w:sz w:val="28"/>
                        <w:szCs w:val="28"/>
                      </w:rPr>
                    </w:pPr>
                    <w:r w:rsidRPr="000A1FF6">
                      <w:fldChar w:fldCharType="begin"/>
                    </w:r>
                    <w:r w:rsidR="00F56075">
                      <w:instrText xml:space="preserve"> PAGE    \* MERGEFORMAT </w:instrText>
                    </w:r>
                    <w:r w:rsidRPr="000A1FF6">
                      <w:fldChar w:fldCharType="separate"/>
                    </w:r>
                    <w:r w:rsidR="00384600" w:rsidRPr="00384600">
                      <w:rPr>
                        <w:noProof/>
                        <w:sz w:val="28"/>
                        <w:szCs w:val="28"/>
                      </w:rPr>
                      <w:t>1</w:t>
                    </w:r>
                    <w:r>
                      <w:rPr>
                        <w:noProof/>
                        <w:sz w:val="28"/>
                        <w:szCs w:val="28"/>
                      </w:rPr>
                      <w:fldChar w:fldCharType="end"/>
                    </w:r>
                  </w:p>
                </w:txbxContent>
              </v:textbox>
              <w10:wrap anchorx="margin"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28" w:rsidRDefault="00B0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00" w:rsidRDefault="00384600" w:rsidP="00927AA0">
      <w:pPr>
        <w:spacing w:after="0" w:line="240" w:lineRule="auto"/>
      </w:pPr>
      <w:r>
        <w:separator/>
      </w:r>
    </w:p>
  </w:footnote>
  <w:footnote w:type="continuationSeparator" w:id="0">
    <w:p w:rsidR="00384600" w:rsidRDefault="00384600" w:rsidP="00927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28" w:rsidRDefault="00B07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28" w:rsidRDefault="00B07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28" w:rsidRDefault="00B077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030642"/>
    <w:rsid w:val="00030642"/>
    <w:rsid w:val="00061F0C"/>
    <w:rsid w:val="00063657"/>
    <w:rsid w:val="000A1FF6"/>
    <w:rsid w:val="000B3D54"/>
    <w:rsid w:val="00221258"/>
    <w:rsid w:val="002F5562"/>
    <w:rsid w:val="00384600"/>
    <w:rsid w:val="003A14FD"/>
    <w:rsid w:val="004151DA"/>
    <w:rsid w:val="00545F38"/>
    <w:rsid w:val="00565D8E"/>
    <w:rsid w:val="005821AF"/>
    <w:rsid w:val="005B479B"/>
    <w:rsid w:val="005C440F"/>
    <w:rsid w:val="00695EE5"/>
    <w:rsid w:val="006D1975"/>
    <w:rsid w:val="00807B23"/>
    <w:rsid w:val="00835063"/>
    <w:rsid w:val="00927AA0"/>
    <w:rsid w:val="00940FDF"/>
    <w:rsid w:val="00982199"/>
    <w:rsid w:val="00A37F15"/>
    <w:rsid w:val="00A73A08"/>
    <w:rsid w:val="00A768EA"/>
    <w:rsid w:val="00B07728"/>
    <w:rsid w:val="00B708E9"/>
    <w:rsid w:val="00B923BF"/>
    <w:rsid w:val="00C15770"/>
    <w:rsid w:val="00C601B4"/>
    <w:rsid w:val="00D25470"/>
    <w:rsid w:val="00E056D0"/>
    <w:rsid w:val="00EA6F7C"/>
    <w:rsid w:val="00F4391D"/>
    <w:rsid w:val="00F56075"/>
    <w:rsid w:val="00FC7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642"/>
    <w:pPr>
      <w:autoSpaceDE w:val="0"/>
      <w:autoSpaceDN w:val="0"/>
      <w:adjustRightInd w:val="0"/>
      <w:spacing w:after="0" w:line="240" w:lineRule="auto"/>
    </w:pPr>
    <w:rPr>
      <w:sz w:val="24"/>
      <w:szCs w:val="24"/>
    </w:rPr>
  </w:style>
  <w:style w:type="table" w:styleId="TableGrid">
    <w:name w:val="Table Grid"/>
    <w:basedOn w:val="TableNormal"/>
    <w:uiPriority w:val="59"/>
    <w:rsid w:val="00030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7A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AA0"/>
  </w:style>
  <w:style w:type="paragraph" w:styleId="Footer">
    <w:name w:val="footer"/>
    <w:basedOn w:val="Normal"/>
    <w:link w:val="FooterChar"/>
    <w:uiPriority w:val="99"/>
    <w:unhideWhenUsed/>
    <w:rsid w:val="00927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A0"/>
  </w:style>
  <w:style w:type="paragraph" w:styleId="BalloonText">
    <w:name w:val="Balloon Text"/>
    <w:basedOn w:val="Normal"/>
    <w:link w:val="BalloonTextChar"/>
    <w:uiPriority w:val="99"/>
    <w:semiHidden/>
    <w:unhideWhenUsed/>
    <w:rsid w:val="0092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642"/>
    <w:pPr>
      <w:autoSpaceDE w:val="0"/>
      <w:autoSpaceDN w:val="0"/>
      <w:adjustRightInd w:val="0"/>
      <w:spacing w:after="0" w:line="240" w:lineRule="auto"/>
    </w:pPr>
    <w:rPr>
      <w:sz w:val="24"/>
      <w:szCs w:val="24"/>
    </w:rPr>
  </w:style>
  <w:style w:type="table" w:styleId="TableGrid">
    <w:name w:val="Table Grid"/>
    <w:basedOn w:val="TableNormal"/>
    <w:uiPriority w:val="59"/>
    <w:rsid w:val="0003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27A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AA0"/>
  </w:style>
  <w:style w:type="paragraph" w:styleId="Footer">
    <w:name w:val="footer"/>
    <w:basedOn w:val="Normal"/>
    <w:link w:val="FooterChar"/>
    <w:uiPriority w:val="99"/>
    <w:unhideWhenUsed/>
    <w:rsid w:val="00927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A0"/>
  </w:style>
  <w:style w:type="paragraph" w:styleId="BalloonText">
    <w:name w:val="Balloon Text"/>
    <w:basedOn w:val="Normal"/>
    <w:link w:val="BalloonTextChar"/>
    <w:uiPriority w:val="99"/>
    <w:semiHidden/>
    <w:unhideWhenUsed/>
    <w:rsid w:val="0092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cp:lastPrinted>2018-03-06T10:25:00Z</cp:lastPrinted>
  <dcterms:created xsi:type="dcterms:W3CDTF">2019-05-21T20:09:00Z</dcterms:created>
  <dcterms:modified xsi:type="dcterms:W3CDTF">2019-05-21T20:09:00Z</dcterms:modified>
</cp:coreProperties>
</file>