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B64987">
        <w:rPr>
          <w:rFonts w:ascii="Comic Sans MS" w:hAnsi="Comic Sans MS" w:cs="ComicSansMS-Bold"/>
          <w:b/>
          <w:bCs/>
          <w:sz w:val="24"/>
          <w:szCs w:val="24"/>
        </w:rPr>
        <w:t xml:space="preserve">Pupil Premium </w:t>
      </w:r>
      <w:r w:rsidR="00217D7B">
        <w:rPr>
          <w:rFonts w:ascii="Comic Sans MS" w:hAnsi="Comic Sans MS" w:cs="ComicSansMS-Bold"/>
          <w:b/>
          <w:bCs/>
          <w:sz w:val="24"/>
          <w:szCs w:val="24"/>
        </w:rPr>
        <w:t xml:space="preserve">Statement </w:t>
      </w:r>
      <w:r w:rsidR="00700C34">
        <w:rPr>
          <w:rFonts w:ascii="Comic Sans MS" w:hAnsi="Comic Sans MS" w:cs="ComicSansMS-Bold"/>
          <w:b/>
          <w:bCs/>
          <w:sz w:val="24"/>
          <w:szCs w:val="24"/>
        </w:rPr>
        <w:t>2017 - 18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</w:p>
    <w:p w:rsidR="00B64987" w:rsidRDefault="00700C34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In September 2017 our pupil premium figures were 32</w:t>
      </w:r>
      <w:r w:rsidR="00B64987" w:rsidRPr="00B64987">
        <w:rPr>
          <w:rFonts w:ascii="Comic Sans MS" w:hAnsi="Comic Sans MS" w:cs="ComicSansMS"/>
          <w:sz w:val="24"/>
          <w:szCs w:val="24"/>
        </w:rPr>
        <w:t xml:space="preserve"> children eligible</w:t>
      </w:r>
      <w:r w:rsidR="00B64987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>for pupil premium. 27</w:t>
      </w:r>
      <w:r w:rsidR="00B64987" w:rsidRPr="00B64987">
        <w:rPr>
          <w:rFonts w:ascii="Comic Sans MS" w:hAnsi="Comic Sans MS" w:cs="ComicSansMS"/>
          <w:sz w:val="24"/>
          <w:szCs w:val="24"/>
        </w:rPr>
        <w:t xml:space="preserve"> of these are due to their Free School Meals entitlement; and</w:t>
      </w:r>
      <w:r w:rsidR="00B64987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>there are also 5</w:t>
      </w:r>
      <w:r w:rsidR="00B64987" w:rsidRPr="00B64987">
        <w:rPr>
          <w:rFonts w:ascii="Comic Sans MS" w:hAnsi="Comic Sans MS" w:cs="ComicSansMS"/>
          <w:sz w:val="24"/>
          <w:szCs w:val="24"/>
        </w:rPr>
        <w:t xml:space="preserve"> Forces children – together this equates to 32% of our school</w:t>
      </w:r>
      <w:r w:rsidR="00B64987">
        <w:rPr>
          <w:rFonts w:ascii="Comic Sans MS" w:hAnsi="Comic Sans MS" w:cs="ComicSansMS"/>
          <w:sz w:val="24"/>
          <w:szCs w:val="24"/>
        </w:rPr>
        <w:t xml:space="preserve"> </w:t>
      </w:r>
      <w:r w:rsidR="00B64987" w:rsidRPr="00B64987">
        <w:rPr>
          <w:rFonts w:ascii="Comic Sans MS" w:hAnsi="Comic Sans MS" w:cs="ComicSansMS"/>
          <w:sz w:val="24"/>
          <w:szCs w:val="24"/>
        </w:rPr>
        <w:t>popula</w:t>
      </w:r>
      <w:r w:rsidR="00716340">
        <w:rPr>
          <w:rFonts w:ascii="Comic Sans MS" w:hAnsi="Comic Sans MS" w:cs="ComicSansMS"/>
          <w:sz w:val="24"/>
          <w:szCs w:val="24"/>
        </w:rPr>
        <w:t>tion, a rise of 9% on last year and higher than national average.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>The P</w:t>
      </w:r>
      <w:r w:rsidR="00700C34">
        <w:rPr>
          <w:rFonts w:ascii="Comic Sans MS" w:hAnsi="Comic Sans MS" w:cs="ComicSansMS"/>
          <w:sz w:val="24"/>
          <w:szCs w:val="24"/>
        </w:rPr>
        <w:t xml:space="preserve">upil Premium per pupil for </w:t>
      </w:r>
      <w:r w:rsidRPr="00B64987">
        <w:rPr>
          <w:rFonts w:ascii="Comic Sans MS" w:hAnsi="Comic Sans MS" w:cs="ComicSansMS"/>
          <w:sz w:val="24"/>
          <w:szCs w:val="24"/>
        </w:rPr>
        <w:t>2017</w:t>
      </w:r>
      <w:r w:rsidR="00700C34">
        <w:rPr>
          <w:rFonts w:ascii="Comic Sans MS" w:hAnsi="Comic Sans MS" w:cs="ComicSansMS"/>
          <w:sz w:val="24"/>
          <w:szCs w:val="24"/>
        </w:rPr>
        <w:t xml:space="preserve"> - 2018</w:t>
      </w:r>
      <w:r w:rsidRPr="00B64987">
        <w:rPr>
          <w:rFonts w:ascii="Comic Sans MS" w:hAnsi="Comic Sans MS" w:cs="ComicSansMS"/>
          <w:sz w:val="24"/>
          <w:szCs w:val="24"/>
        </w:rPr>
        <w:t xml:space="preserve"> is as follows: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>Free School meals = £1320 per pupil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>Forces children = £300 per pupil</w:t>
      </w:r>
    </w:p>
    <w:p w:rsidR="00B64987" w:rsidRDefault="00700C34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Total allocation: £37,140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>This grant may be spent by maintained schools for the purposes of the school;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proofErr w:type="gramStart"/>
      <w:r w:rsidRPr="00B64987">
        <w:rPr>
          <w:rFonts w:ascii="Comic Sans MS" w:hAnsi="Comic Sans MS" w:cs="ComicSansMS"/>
          <w:sz w:val="24"/>
          <w:szCs w:val="24"/>
        </w:rPr>
        <w:t>that</w:t>
      </w:r>
      <w:proofErr w:type="gramEnd"/>
      <w:r w:rsidRPr="00B64987">
        <w:rPr>
          <w:rFonts w:ascii="Comic Sans MS" w:hAnsi="Comic Sans MS" w:cs="ComicSansMS"/>
          <w:sz w:val="24"/>
          <w:szCs w:val="24"/>
        </w:rPr>
        <w:t xml:space="preserve"> is to say for the educational benefit of pupils registered at that school, or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proofErr w:type="gramStart"/>
      <w:r w:rsidRPr="00B64987">
        <w:rPr>
          <w:rFonts w:ascii="Comic Sans MS" w:hAnsi="Comic Sans MS" w:cs="ComicSansMS"/>
          <w:sz w:val="24"/>
          <w:szCs w:val="24"/>
        </w:rPr>
        <w:t>for</w:t>
      </w:r>
      <w:proofErr w:type="gramEnd"/>
      <w:r w:rsidRPr="00B64987">
        <w:rPr>
          <w:rFonts w:ascii="Comic Sans MS" w:hAnsi="Comic Sans MS" w:cs="ComicSansMS"/>
          <w:sz w:val="24"/>
          <w:szCs w:val="24"/>
        </w:rPr>
        <w:t xml:space="preserve"> the benefit of pupils registered at other maintained schools; and on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proofErr w:type="gramStart"/>
      <w:r w:rsidRPr="00B64987">
        <w:rPr>
          <w:rFonts w:ascii="Comic Sans MS" w:hAnsi="Comic Sans MS" w:cs="ComicSansMS"/>
          <w:sz w:val="24"/>
          <w:szCs w:val="24"/>
        </w:rPr>
        <w:t>community</w:t>
      </w:r>
      <w:proofErr w:type="gramEnd"/>
      <w:r w:rsidRPr="00B64987">
        <w:rPr>
          <w:rFonts w:ascii="Comic Sans MS" w:hAnsi="Comic Sans MS" w:cs="ComicSansMS"/>
          <w:sz w:val="24"/>
          <w:szCs w:val="24"/>
        </w:rPr>
        <w:t xml:space="preserve"> facilities, for example services whose provision furthers any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proofErr w:type="gramStart"/>
      <w:r w:rsidRPr="00B64987">
        <w:rPr>
          <w:rFonts w:ascii="Comic Sans MS" w:hAnsi="Comic Sans MS" w:cs="ComicSansMS"/>
          <w:sz w:val="24"/>
          <w:szCs w:val="24"/>
        </w:rPr>
        <w:t>charitable</w:t>
      </w:r>
      <w:proofErr w:type="gramEnd"/>
      <w:r w:rsidRPr="00B64987">
        <w:rPr>
          <w:rFonts w:ascii="Comic Sans MS" w:hAnsi="Comic Sans MS" w:cs="ComicSansMS"/>
          <w:sz w:val="24"/>
          <w:szCs w:val="24"/>
        </w:rPr>
        <w:t xml:space="preserve"> purpose for the benefit of pupils at the school or their families, or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proofErr w:type="gramStart"/>
      <w:r w:rsidRPr="00B64987">
        <w:rPr>
          <w:rFonts w:ascii="Comic Sans MS" w:hAnsi="Comic Sans MS" w:cs="ComicSansMS"/>
          <w:sz w:val="24"/>
          <w:szCs w:val="24"/>
        </w:rPr>
        <w:t>people</w:t>
      </w:r>
      <w:proofErr w:type="gramEnd"/>
      <w:r w:rsidRPr="00B64987">
        <w:rPr>
          <w:rFonts w:ascii="Comic Sans MS" w:hAnsi="Comic Sans MS" w:cs="ComicSansMS"/>
          <w:sz w:val="24"/>
          <w:szCs w:val="24"/>
        </w:rPr>
        <w:t xml:space="preserve"> who live or work in the locality in which the school is situated.</w:t>
      </w: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>The grant does not have to be completely spent by schools in the current financial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year; some or all of it may be carried forward to future financial years. Schools are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free to spend the Pupil Premium as they see fit, but are accountable for the success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of their chosen expenditure.</w:t>
      </w: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At Amble First School</w:t>
      </w:r>
      <w:r w:rsidR="00716340">
        <w:rPr>
          <w:rFonts w:ascii="Comic Sans MS" w:hAnsi="Comic Sans MS" w:cs="ComicSansMS"/>
          <w:sz w:val="24"/>
          <w:szCs w:val="24"/>
        </w:rPr>
        <w:t>, we recognise the barriers to learning that our some of children encounter as being:</w:t>
      </w:r>
    </w:p>
    <w:p w:rsidR="00716340" w:rsidRDefault="00716340" w:rsidP="007163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Early language and communication developmental delays, leading to delays in phonics and literacy</w:t>
      </w:r>
    </w:p>
    <w:p w:rsidR="00716340" w:rsidRDefault="00716340" w:rsidP="007163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Personal, social, emotional, behavioural difficulties, particularly evident in Early Years, which can impede effective learning</w:t>
      </w:r>
    </w:p>
    <w:p w:rsidR="00716340" w:rsidRDefault="00716340" w:rsidP="007163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The impact of social factors such as substance misuse, family mobility, family breakdown, unemployment</w:t>
      </w:r>
    </w:p>
    <w:p w:rsidR="00716340" w:rsidRDefault="00716340" w:rsidP="007163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Lack of access to cultural and leisure opportunities, due to location and financial restraints</w:t>
      </w:r>
    </w:p>
    <w:p w:rsidR="00716340" w:rsidRDefault="00716340" w:rsidP="007163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Health and well being issues, which can be a direct result of many of the above factors</w:t>
      </w:r>
    </w:p>
    <w:p w:rsidR="00716340" w:rsidRDefault="00716340" w:rsidP="007163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700C34" w:rsidRDefault="00716340" w:rsidP="007163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Our spending of the pupil premium grant reflects our efforts to overcome many of these barriers</w:t>
      </w:r>
      <w:r w:rsidR="00217D7B">
        <w:rPr>
          <w:rFonts w:ascii="Comic Sans MS" w:hAnsi="Comic Sans MS" w:cs="ComicSansMS"/>
          <w:sz w:val="24"/>
          <w:szCs w:val="24"/>
        </w:rPr>
        <w:t>.</w:t>
      </w:r>
    </w:p>
    <w:p w:rsidR="00700C34" w:rsidRDefault="00700C34">
      <w:pPr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br w:type="page"/>
      </w:r>
    </w:p>
    <w:p w:rsidR="00312E89" w:rsidRPr="00312E89" w:rsidRDefault="00312E89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4"/>
          <w:szCs w:val="24"/>
        </w:rPr>
      </w:pPr>
      <w:r w:rsidRPr="00312E89">
        <w:rPr>
          <w:rFonts w:ascii="Comic Sans MS" w:hAnsi="Comic Sans MS" w:cs="ComicSansMS"/>
          <w:b/>
          <w:sz w:val="24"/>
          <w:szCs w:val="24"/>
        </w:rPr>
        <w:lastRenderedPageBreak/>
        <w:t>Review of 2016 – 17</w:t>
      </w: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>In Amble First School last year, pupil premium funding allocation of £31,200 was spent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on</w:t>
      </w:r>
      <w:r>
        <w:rPr>
          <w:rFonts w:ascii="Comic Sans MS" w:hAnsi="Comic Sans MS" w:cs="ComicSansMS"/>
          <w:sz w:val="24"/>
          <w:szCs w:val="24"/>
        </w:rPr>
        <w:t xml:space="preserve"> 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Read Write Inc training/monitoring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="0066556A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</w:t>
      </w:r>
      <w:r w:rsidR="0066556A">
        <w:rPr>
          <w:rFonts w:ascii="Comic Sans MS" w:hAnsi="Comic Sans MS" w:cs="ComicSansMS"/>
          <w:sz w:val="24"/>
          <w:szCs w:val="24"/>
        </w:rPr>
        <w:t>3100</w:t>
      </w:r>
      <w:proofErr w:type="gramEnd"/>
    </w:p>
    <w:p w:rsidR="0066556A" w:rsidRPr="00B64987" w:rsidRDefault="0066556A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Visible Learning training for teachers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>
        <w:rPr>
          <w:rFonts w:ascii="Comic Sans MS" w:hAnsi="Comic Sans MS" w:cs="ComicSansMS"/>
          <w:sz w:val="24"/>
          <w:szCs w:val="24"/>
        </w:rPr>
        <w:t>£</w:t>
      </w:r>
      <w:r w:rsidR="00312E89">
        <w:rPr>
          <w:rFonts w:ascii="Comic Sans MS" w:hAnsi="Comic Sans MS" w:cs="ComicSansMS"/>
          <w:sz w:val="24"/>
          <w:szCs w:val="24"/>
        </w:rPr>
        <w:t xml:space="preserve">  </w:t>
      </w:r>
      <w:r>
        <w:rPr>
          <w:rFonts w:ascii="Comic Sans MS" w:hAnsi="Comic Sans MS" w:cs="ComicSansMS"/>
          <w:sz w:val="24"/>
          <w:szCs w:val="24"/>
        </w:rPr>
        <w:t>1300</w:t>
      </w:r>
      <w:proofErr w:type="gramEnd"/>
    </w:p>
    <w:p w:rsidR="00B64987" w:rsidRDefault="0066556A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Training for Teaching Assistants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>1100</w:t>
      </w:r>
      <w:proofErr w:type="gramEnd"/>
    </w:p>
    <w:p w:rsidR="0066556A" w:rsidRPr="00B64987" w:rsidRDefault="0066556A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Maths mastery training and resources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>
        <w:rPr>
          <w:rFonts w:ascii="Comic Sans MS" w:hAnsi="Comic Sans MS" w:cs="ComicSansMS"/>
          <w:sz w:val="24"/>
          <w:szCs w:val="24"/>
        </w:rPr>
        <w:t>£</w:t>
      </w:r>
      <w:r w:rsidR="00312E89">
        <w:rPr>
          <w:rFonts w:ascii="Comic Sans MS" w:hAnsi="Comic Sans MS" w:cs="ComicSansMS"/>
          <w:sz w:val="24"/>
          <w:szCs w:val="24"/>
        </w:rPr>
        <w:t xml:space="preserve">  </w:t>
      </w:r>
      <w:r>
        <w:rPr>
          <w:rFonts w:ascii="Comic Sans MS" w:hAnsi="Comic Sans MS" w:cs="ComicSansMS"/>
          <w:sz w:val="24"/>
          <w:szCs w:val="24"/>
        </w:rPr>
        <w:t>2400</w:t>
      </w:r>
      <w:proofErr w:type="gramEnd"/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Additional teaching assistant hours – Reception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="0066556A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</w:t>
      </w:r>
      <w:r w:rsidR="0066556A">
        <w:rPr>
          <w:rFonts w:ascii="Comic Sans MS" w:hAnsi="Comic Sans MS" w:cs="ComicSansMS"/>
          <w:sz w:val="24"/>
          <w:szCs w:val="24"/>
        </w:rPr>
        <w:t>24</w:t>
      </w:r>
      <w:r w:rsidRPr="00B64987">
        <w:rPr>
          <w:rFonts w:ascii="Comic Sans MS" w:hAnsi="Comic Sans MS" w:cs="ComicSansMS"/>
          <w:sz w:val="24"/>
          <w:szCs w:val="24"/>
        </w:rPr>
        <w:t>00</w:t>
      </w:r>
      <w:proofErr w:type="gramEnd"/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Additional teaching assistant hours - Year 1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2000</w:t>
      </w:r>
      <w:proofErr w:type="gramEnd"/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ELSA training and time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  <w:t xml:space="preserve">  </w:t>
      </w:r>
      <w:r w:rsidR="00312E89">
        <w:rPr>
          <w:rFonts w:ascii="Comic Sans MS" w:hAnsi="Comic Sans MS" w:cs="ComicSansMS"/>
          <w:sz w:val="24"/>
          <w:szCs w:val="24"/>
        </w:rPr>
        <w:tab/>
      </w:r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 </w:t>
      </w:r>
      <w:r w:rsidRPr="00B64987">
        <w:rPr>
          <w:rFonts w:ascii="Comic Sans MS" w:hAnsi="Comic Sans MS" w:cs="ComicSansMS"/>
          <w:sz w:val="24"/>
          <w:szCs w:val="24"/>
        </w:rPr>
        <w:t>500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proofErr w:type="spellStart"/>
      <w:r w:rsidRPr="00B64987">
        <w:rPr>
          <w:rFonts w:ascii="Comic Sans MS" w:hAnsi="Comic Sans MS" w:cs="ComicSansMS"/>
          <w:sz w:val="24"/>
          <w:szCs w:val="24"/>
        </w:rPr>
        <w:t>Talkboost</w:t>
      </w:r>
      <w:proofErr w:type="spellEnd"/>
      <w:r w:rsidRPr="00B64987">
        <w:rPr>
          <w:rFonts w:ascii="Comic Sans MS" w:hAnsi="Comic Sans MS" w:cs="ComicSansMS"/>
          <w:sz w:val="24"/>
          <w:szCs w:val="24"/>
        </w:rPr>
        <w:t xml:space="preserve"> training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  <w:t xml:space="preserve">  </w:t>
      </w:r>
      <w:r w:rsidR="00312E89">
        <w:rPr>
          <w:rFonts w:ascii="Comic Sans MS" w:hAnsi="Comic Sans MS" w:cs="ComicSansMS"/>
          <w:sz w:val="24"/>
          <w:szCs w:val="24"/>
        </w:rPr>
        <w:tab/>
      </w:r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 850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proofErr w:type="spellStart"/>
      <w:r w:rsidRPr="00B64987">
        <w:rPr>
          <w:rFonts w:ascii="Comic Sans MS" w:hAnsi="Comic Sans MS" w:cs="ComicSansMS"/>
          <w:sz w:val="24"/>
          <w:szCs w:val="24"/>
        </w:rPr>
        <w:t>Talkboost</w:t>
      </w:r>
      <w:proofErr w:type="spellEnd"/>
      <w:r w:rsidRPr="00B64987">
        <w:rPr>
          <w:rFonts w:ascii="Comic Sans MS" w:hAnsi="Comic Sans MS" w:cs="ComicSansMS"/>
          <w:sz w:val="24"/>
          <w:szCs w:val="24"/>
        </w:rPr>
        <w:t xml:space="preserve"> delivery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  <w:t xml:space="preserve">  </w:t>
      </w:r>
      <w:r w:rsidR="00312E89">
        <w:rPr>
          <w:rFonts w:ascii="Comic Sans MS" w:hAnsi="Comic Sans MS" w:cs="ComicSansMS"/>
          <w:sz w:val="24"/>
          <w:szCs w:val="24"/>
        </w:rPr>
        <w:tab/>
      </w:r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 </w:t>
      </w:r>
      <w:r w:rsidRPr="00B64987">
        <w:rPr>
          <w:rFonts w:ascii="Comic Sans MS" w:hAnsi="Comic Sans MS" w:cs="ComicSansMS"/>
          <w:sz w:val="24"/>
          <w:szCs w:val="24"/>
        </w:rPr>
        <w:t>500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Breakfast club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2500</w:t>
      </w:r>
      <w:proofErr w:type="gramEnd"/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Music tuition </w:t>
      </w:r>
      <w:r>
        <w:rPr>
          <w:rFonts w:ascii="Comic Sans MS" w:hAnsi="Comic Sans MS" w:cs="ComicSansMS"/>
          <w:sz w:val="24"/>
          <w:szCs w:val="24"/>
        </w:rPr>
        <w:t xml:space="preserve"> 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  <w:t xml:space="preserve">  </w:t>
      </w:r>
      <w:r w:rsidR="00312E89">
        <w:rPr>
          <w:rFonts w:ascii="Comic Sans MS" w:hAnsi="Comic Sans MS" w:cs="ComicSansMS"/>
          <w:sz w:val="24"/>
          <w:szCs w:val="24"/>
        </w:rPr>
        <w:tab/>
      </w:r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 </w:t>
      </w:r>
      <w:r w:rsidRPr="00B64987">
        <w:rPr>
          <w:rFonts w:ascii="Comic Sans MS" w:hAnsi="Comic Sans MS" w:cs="ComicSansMS"/>
          <w:sz w:val="24"/>
          <w:szCs w:val="24"/>
        </w:rPr>
        <w:t>400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Swimming subsidies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2000</w:t>
      </w:r>
      <w:proofErr w:type="gramEnd"/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Trip subsidies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3000</w:t>
      </w:r>
      <w:proofErr w:type="gramEnd"/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Small group interventions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 w:rsidR="00312E89">
        <w:rPr>
          <w:rFonts w:ascii="Comic Sans MS" w:hAnsi="Comic Sans MS" w:cs="ComicSansMS"/>
          <w:sz w:val="24"/>
          <w:szCs w:val="24"/>
        </w:rPr>
        <w:tab/>
        <w:t>£ 14</w:t>
      </w:r>
      <w:r w:rsidRPr="00B64987">
        <w:rPr>
          <w:rFonts w:ascii="Comic Sans MS" w:hAnsi="Comic Sans MS" w:cs="ComicSansMS"/>
          <w:sz w:val="24"/>
          <w:szCs w:val="24"/>
        </w:rPr>
        <w:t>000</w:t>
      </w: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1:1 interventions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  <w:t xml:space="preserve"> </w:t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="00312E89">
        <w:rPr>
          <w:rFonts w:ascii="Comic Sans MS" w:hAnsi="Comic Sans MS" w:cs="ComicSansMS"/>
          <w:sz w:val="24"/>
          <w:szCs w:val="24"/>
        </w:rPr>
        <w:t>£  35</w:t>
      </w:r>
      <w:r w:rsidRPr="00B64987">
        <w:rPr>
          <w:rFonts w:ascii="Comic Sans MS" w:hAnsi="Comic Sans MS" w:cs="ComicSansMS"/>
          <w:sz w:val="24"/>
          <w:szCs w:val="24"/>
        </w:rPr>
        <w:t>00</w:t>
      </w:r>
      <w:proofErr w:type="gramEnd"/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Staff training (interventions, ASD)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  <w:t xml:space="preserve">  </w:t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Pr="00B64987">
        <w:rPr>
          <w:rFonts w:ascii="Comic Sans MS" w:hAnsi="Comic Sans MS" w:cs="ComicSansMS"/>
          <w:sz w:val="24"/>
          <w:szCs w:val="24"/>
        </w:rPr>
        <w:t xml:space="preserve">£ </w:t>
      </w:r>
      <w:r w:rsidR="00312E89">
        <w:rPr>
          <w:rFonts w:ascii="Comic Sans MS" w:hAnsi="Comic Sans MS" w:cs="ComicSansMS"/>
          <w:sz w:val="24"/>
          <w:szCs w:val="24"/>
        </w:rPr>
        <w:t xml:space="preserve"> </w:t>
      </w:r>
      <w:r w:rsidRPr="00B64987">
        <w:rPr>
          <w:rFonts w:ascii="Comic Sans MS" w:hAnsi="Comic Sans MS" w:cs="ComicSansMS"/>
          <w:sz w:val="24"/>
          <w:szCs w:val="24"/>
        </w:rPr>
        <w:t>2000</w:t>
      </w:r>
      <w:proofErr w:type="gramEnd"/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LMT monitoring of PP children </w:t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</w:r>
      <w:r>
        <w:rPr>
          <w:rFonts w:ascii="Comic Sans MS" w:hAnsi="Comic Sans MS" w:cs="ComicSansMS"/>
          <w:sz w:val="24"/>
          <w:szCs w:val="24"/>
        </w:rPr>
        <w:tab/>
        <w:t xml:space="preserve">  </w:t>
      </w:r>
      <w:r w:rsidR="00312E89">
        <w:rPr>
          <w:rFonts w:ascii="Comic Sans MS" w:hAnsi="Comic Sans MS" w:cs="ComicSansMS"/>
          <w:sz w:val="24"/>
          <w:szCs w:val="24"/>
        </w:rPr>
        <w:tab/>
      </w:r>
      <w:proofErr w:type="gramStart"/>
      <w:r w:rsidR="00312E89">
        <w:rPr>
          <w:rFonts w:ascii="Comic Sans MS" w:hAnsi="Comic Sans MS" w:cs="ComicSansMS"/>
          <w:sz w:val="24"/>
          <w:szCs w:val="24"/>
        </w:rPr>
        <w:t>£  300</w:t>
      </w:r>
      <w:r w:rsidRPr="00B64987">
        <w:rPr>
          <w:rFonts w:ascii="Comic Sans MS" w:hAnsi="Comic Sans MS" w:cs="ComicSansMS"/>
          <w:sz w:val="24"/>
          <w:szCs w:val="24"/>
        </w:rPr>
        <w:t>0</w:t>
      </w:r>
      <w:proofErr w:type="gramEnd"/>
    </w:p>
    <w:p w:rsidR="00B64987" w:rsidRPr="00B64987" w:rsidRDefault="00B64987" w:rsidP="00B6498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B64987">
        <w:rPr>
          <w:rFonts w:ascii="Comic Sans MS" w:hAnsi="Comic Sans MS" w:cs="ComicSansMS-Bold"/>
          <w:b/>
          <w:bCs/>
          <w:sz w:val="24"/>
          <w:szCs w:val="24"/>
        </w:rPr>
        <w:t>Total £</w:t>
      </w:r>
      <w:r w:rsidR="00312E89">
        <w:rPr>
          <w:rFonts w:ascii="Comic Sans MS" w:hAnsi="Comic Sans MS" w:cs="ComicSansMS-Bold"/>
          <w:b/>
          <w:bCs/>
          <w:sz w:val="24"/>
          <w:szCs w:val="24"/>
        </w:rPr>
        <w:t>40,150</w:t>
      </w:r>
    </w:p>
    <w:p w:rsidR="00716340" w:rsidRDefault="00716340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</w:p>
    <w:p w:rsidR="00716340" w:rsidRPr="00B64987" w:rsidRDefault="00716340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>As a result of these resources and interventions provided, data shows that:</w:t>
      </w:r>
    </w:p>
    <w:p w:rsidR="00B64987" w:rsidRPr="00B64987" w:rsidRDefault="00B64987" w:rsidP="00B64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>The very large majority of Pupil Premium children have made expected or better progress in all subjects in both Key Stages this year.</w:t>
      </w:r>
      <w:r w:rsidR="009C5C03">
        <w:rPr>
          <w:rFonts w:ascii="Comic Sans MS" w:hAnsi="Comic Sans MS" w:cs="ComicSansMS"/>
          <w:sz w:val="24"/>
          <w:szCs w:val="24"/>
        </w:rPr>
        <w:t xml:space="preserve"> In most classes almost all Pupil Premium children made better than expected progress</w:t>
      </w:r>
    </w:p>
    <w:p w:rsidR="00B64987" w:rsidRPr="00B64987" w:rsidRDefault="00B64987" w:rsidP="00B64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B64987">
        <w:rPr>
          <w:rFonts w:ascii="Comic Sans MS" w:hAnsi="Comic Sans MS" w:cs="ComicSansMS"/>
          <w:sz w:val="24"/>
          <w:szCs w:val="24"/>
        </w:rPr>
        <w:t xml:space="preserve">The large majority of Pupil Premium pupils have reached Age Related Expectations in all subjects, although the figure is less good for </w:t>
      </w:r>
      <w:r w:rsidR="009C5C03">
        <w:rPr>
          <w:rFonts w:ascii="Comic Sans MS" w:hAnsi="Comic Sans MS" w:cs="ComicSansMS"/>
          <w:sz w:val="24"/>
          <w:szCs w:val="24"/>
        </w:rPr>
        <w:t xml:space="preserve">writing </w:t>
      </w:r>
      <w:r w:rsidRPr="00B64987">
        <w:rPr>
          <w:rFonts w:ascii="Comic Sans MS" w:hAnsi="Comic Sans MS" w:cs="ComicSansMS"/>
          <w:sz w:val="24"/>
          <w:szCs w:val="24"/>
        </w:rPr>
        <w:t xml:space="preserve">than </w:t>
      </w:r>
      <w:r w:rsidR="009C5C03">
        <w:rPr>
          <w:rFonts w:ascii="Comic Sans MS" w:hAnsi="Comic Sans MS" w:cs="ComicSansMS"/>
          <w:sz w:val="24"/>
          <w:szCs w:val="24"/>
        </w:rPr>
        <w:t>maths and reading.</w:t>
      </w:r>
      <w:r w:rsidRPr="00B64987">
        <w:rPr>
          <w:rFonts w:ascii="Comic Sans MS" w:hAnsi="Comic Sans MS" w:cs="ComicSansMS"/>
          <w:sz w:val="24"/>
          <w:szCs w:val="24"/>
        </w:rPr>
        <w:t xml:space="preserve"> However, it is important to remember that these are disadvantaged pupils who may well have had a much lower starting point</w:t>
      </w:r>
      <w:r w:rsidR="009C5C03">
        <w:rPr>
          <w:rFonts w:ascii="Comic Sans MS" w:hAnsi="Comic Sans MS" w:cs="ComicSansMS"/>
          <w:sz w:val="24"/>
          <w:szCs w:val="24"/>
        </w:rPr>
        <w:t xml:space="preserve"> and in some classes, there is a high correlation between children entitled to Pupil Premium and children with Special Educational Needs or Disabilities</w:t>
      </w:r>
      <w:r w:rsidRPr="00B64987">
        <w:rPr>
          <w:rFonts w:ascii="Comic Sans MS" w:hAnsi="Comic Sans MS" w:cs="ComicSansMS"/>
          <w:sz w:val="24"/>
          <w:szCs w:val="24"/>
        </w:rPr>
        <w:t>.</w:t>
      </w: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C5C03" w:rsidRDefault="009C5C03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9C5C03" w:rsidRDefault="009C5C03" w:rsidP="009C5C03">
      <w:pPr>
        <w:tabs>
          <w:tab w:val="left" w:pos="6327"/>
        </w:tabs>
        <w:rPr>
          <w:b/>
        </w:rPr>
      </w:pPr>
      <w:r w:rsidRPr="0095718B">
        <w:rPr>
          <w:b/>
        </w:rPr>
        <w:t>Amble First School – Group PUPIL PREMIUM</w:t>
      </w:r>
      <w:r>
        <w:rPr>
          <w:b/>
        </w:rPr>
        <w:t xml:space="preserve"> </w:t>
      </w:r>
      <w:r w:rsidRPr="0095718B">
        <w:rPr>
          <w:b/>
        </w:rPr>
        <w:t xml:space="preserve">progress </w:t>
      </w:r>
      <w:r>
        <w:rPr>
          <w:b/>
        </w:rPr>
        <w:t>tracking</w:t>
      </w:r>
      <w:r w:rsidRPr="0095718B">
        <w:rPr>
          <w:b/>
        </w:rPr>
        <w:tab/>
      </w:r>
    </w:p>
    <w:p w:rsidR="009C5C03" w:rsidRDefault="009C5C03" w:rsidP="009C5C03">
      <w:pPr>
        <w:rPr>
          <w:b/>
        </w:rPr>
      </w:pPr>
      <w:r>
        <w:rPr>
          <w:b/>
        </w:rPr>
        <w:t>2016 - 17</w:t>
      </w:r>
      <w:r w:rsidRPr="0095718B">
        <w:rPr>
          <w:b/>
        </w:rPr>
        <w:tab/>
      </w:r>
      <w:r w:rsidRPr="0095718B">
        <w:rPr>
          <w:b/>
        </w:rPr>
        <w:tab/>
      </w:r>
      <w:r w:rsidRPr="0095718B">
        <w:rPr>
          <w:b/>
        </w:rPr>
        <w:tab/>
      </w:r>
      <w:r w:rsidRPr="0095718B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3038"/>
        <w:gridCol w:w="3102"/>
        <w:gridCol w:w="3102"/>
      </w:tblGrid>
      <w:tr w:rsidR="009C5C03" w:rsidTr="009C5C03">
        <w:tc>
          <w:tcPr>
            <w:tcW w:w="9242" w:type="dxa"/>
            <w:gridSpan w:val="3"/>
            <w:shd w:val="clear" w:color="auto" w:fill="A6A6A6" w:themeFill="background1" w:themeFillShade="A6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Reception Class (2 children)</w:t>
            </w:r>
          </w:p>
        </w:tc>
      </w:tr>
      <w:tr w:rsidR="009C5C03" w:rsidTr="009C5C03">
        <w:tc>
          <w:tcPr>
            <w:tcW w:w="3038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</w:p>
        </w:tc>
        <w:tc>
          <w:tcPr>
            <w:tcW w:w="3102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</w:t>
            </w:r>
          </w:p>
        </w:tc>
        <w:tc>
          <w:tcPr>
            <w:tcW w:w="3102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ARE+</w:t>
            </w:r>
          </w:p>
        </w:tc>
      </w:tr>
      <w:tr w:rsidR="009C5C03" w:rsidTr="009C5C03">
        <w:tc>
          <w:tcPr>
            <w:tcW w:w="3038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3102" w:type="dxa"/>
          </w:tcPr>
          <w:p w:rsidR="009C5C03" w:rsidRPr="0095718B" w:rsidRDefault="009C5C03" w:rsidP="00571F84">
            <w:pPr>
              <w:jc w:val="center"/>
            </w:pPr>
            <w:r>
              <w:t xml:space="preserve">50 </w:t>
            </w:r>
          </w:p>
        </w:tc>
        <w:tc>
          <w:tcPr>
            <w:tcW w:w="3102" w:type="dxa"/>
          </w:tcPr>
          <w:p w:rsidR="009C5C03" w:rsidRPr="0095718B" w:rsidRDefault="009C5C03" w:rsidP="00571F84">
            <w:pPr>
              <w:jc w:val="center"/>
            </w:pPr>
            <w:r>
              <w:t xml:space="preserve">0  </w:t>
            </w:r>
          </w:p>
        </w:tc>
      </w:tr>
      <w:tr w:rsidR="009C5C03" w:rsidTr="009C5C03">
        <w:tc>
          <w:tcPr>
            <w:tcW w:w="3038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3102" w:type="dxa"/>
          </w:tcPr>
          <w:p w:rsidR="009C5C03" w:rsidRPr="0095718B" w:rsidRDefault="009C5C03" w:rsidP="00571F84">
            <w:pPr>
              <w:jc w:val="center"/>
            </w:pPr>
            <w:r>
              <w:t xml:space="preserve">50  </w:t>
            </w:r>
          </w:p>
        </w:tc>
        <w:tc>
          <w:tcPr>
            <w:tcW w:w="3102" w:type="dxa"/>
          </w:tcPr>
          <w:p w:rsidR="009C5C03" w:rsidRPr="0095718B" w:rsidRDefault="009C5C03" w:rsidP="00571F84">
            <w:pPr>
              <w:jc w:val="center"/>
            </w:pPr>
            <w:r>
              <w:t xml:space="preserve">0 </w:t>
            </w:r>
          </w:p>
        </w:tc>
      </w:tr>
      <w:tr w:rsidR="009C5C03" w:rsidTr="009C5C03">
        <w:tc>
          <w:tcPr>
            <w:tcW w:w="3038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102" w:type="dxa"/>
          </w:tcPr>
          <w:p w:rsidR="009C5C03" w:rsidRPr="0095718B" w:rsidRDefault="009C5C03" w:rsidP="00571F84">
            <w:pPr>
              <w:jc w:val="center"/>
            </w:pPr>
            <w:r>
              <w:t xml:space="preserve">50 </w:t>
            </w:r>
          </w:p>
        </w:tc>
        <w:tc>
          <w:tcPr>
            <w:tcW w:w="3102" w:type="dxa"/>
          </w:tcPr>
          <w:p w:rsidR="009C5C03" w:rsidRPr="0095718B" w:rsidRDefault="009C5C03" w:rsidP="00571F84">
            <w:pPr>
              <w:jc w:val="center"/>
            </w:pPr>
            <w:r>
              <w:t xml:space="preserve">0 </w:t>
            </w:r>
          </w:p>
        </w:tc>
      </w:tr>
    </w:tbl>
    <w:p w:rsidR="009C5C03" w:rsidRDefault="009C5C03" w:rsidP="009C5C0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38"/>
        <w:gridCol w:w="3102"/>
        <w:gridCol w:w="3102"/>
      </w:tblGrid>
      <w:tr w:rsidR="009C5C03" w:rsidTr="00571F84">
        <w:tc>
          <w:tcPr>
            <w:tcW w:w="11102" w:type="dxa"/>
            <w:gridSpan w:val="3"/>
            <w:shd w:val="clear" w:color="auto" w:fill="A6A6A6" w:themeFill="background1" w:themeFillShade="A6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Year 1 ( 4 children)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</w:p>
        </w:tc>
        <w:tc>
          <w:tcPr>
            <w:tcW w:w="3701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</w:t>
            </w:r>
          </w:p>
        </w:tc>
        <w:tc>
          <w:tcPr>
            <w:tcW w:w="3701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ARE+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75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25 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25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25 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75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25 </w:t>
            </w:r>
          </w:p>
        </w:tc>
      </w:tr>
    </w:tbl>
    <w:p w:rsidR="009C5C03" w:rsidRDefault="009C5C03" w:rsidP="009C5C0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38"/>
        <w:gridCol w:w="3102"/>
        <w:gridCol w:w="3102"/>
      </w:tblGrid>
      <w:tr w:rsidR="009C5C03" w:rsidTr="00571F84">
        <w:tc>
          <w:tcPr>
            <w:tcW w:w="11102" w:type="dxa"/>
            <w:gridSpan w:val="3"/>
            <w:shd w:val="clear" w:color="auto" w:fill="A6A6A6" w:themeFill="background1" w:themeFillShade="A6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Year 2 ( 3 children)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</w:p>
        </w:tc>
        <w:tc>
          <w:tcPr>
            <w:tcW w:w="3701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</w:t>
            </w:r>
          </w:p>
        </w:tc>
        <w:tc>
          <w:tcPr>
            <w:tcW w:w="3701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ARE+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67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33 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33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33 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33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33 </w:t>
            </w:r>
          </w:p>
        </w:tc>
      </w:tr>
    </w:tbl>
    <w:p w:rsidR="009C5C03" w:rsidRDefault="009C5C03" w:rsidP="009C5C0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38"/>
        <w:gridCol w:w="3102"/>
        <w:gridCol w:w="3102"/>
      </w:tblGrid>
      <w:tr w:rsidR="009C5C03" w:rsidTr="00571F84">
        <w:tc>
          <w:tcPr>
            <w:tcW w:w="11102" w:type="dxa"/>
            <w:gridSpan w:val="3"/>
            <w:shd w:val="clear" w:color="auto" w:fill="A6A6A6" w:themeFill="background1" w:themeFillShade="A6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Year 3 (12 children)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</w:p>
        </w:tc>
        <w:tc>
          <w:tcPr>
            <w:tcW w:w="3701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</w:t>
            </w:r>
          </w:p>
        </w:tc>
        <w:tc>
          <w:tcPr>
            <w:tcW w:w="3701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ARE+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59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8 </w:t>
            </w:r>
          </w:p>
        </w:tc>
      </w:tr>
      <w:tr w:rsidR="009C5C03" w:rsidTr="009C5C03">
        <w:trPr>
          <w:trHeight w:val="197"/>
        </w:trPr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75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8 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67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8 </w:t>
            </w:r>
          </w:p>
        </w:tc>
      </w:tr>
    </w:tbl>
    <w:p w:rsidR="009C5C03" w:rsidRDefault="009C5C03" w:rsidP="009C5C0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38"/>
        <w:gridCol w:w="3102"/>
        <w:gridCol w:w="3102"/>
      </w:tblGrid>
      <w:tr w:rsidR="009C5C03" w:rsidTr="00571F84">
        <w:tc>
          <w:tcPr>
            <w:tcW w:w="11102" w:type="dxa"/>
            <w:gridSpan w:val="3"/>
            <w:shd w:val="clear" w:color="auto" w:fill="A6A6A6" w:themeFill="background1" w:themeFillShade="A6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Year 4 (9 children)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</w:p>
        </w:tc>
        <w:tc>
          <w:tcPr>
            <w:tcW w:w="3701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</w:t>
            </w:r>
          </w:p>
        </w:tc>
        <w:tc>
          <w:tcPr>
            <w:tcW w:w="3701" w:type="dxa"/>
            <w:shd w:val="clear" w:color="auto" w:fill="BFBFBF" w:themeFill="background1" w:themeFillShade="BF"/>
          </w:tcPr>
          <w:p w:rsidR="009C5C03" w:rsidRDefault="009C5C03" w:rsidP="00571F84">
            <w:pPr>
              <w:jc w:val="center"/>
              <w:rPr>
                <w:b/>
              </w:rPr>
            </w:pPr>
            <w:r>
              <w:rPr>
                <w:b/>
              </w:rPr>
              <w:t>Proportion at ARE+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89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11 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67 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33  </w:t>
            </w:r>
          </w:p>
        </w:tc>
      </w:tr>
      <w:tr w:rsidR="009C5C03" w:rsidTr="00571F84">
        <w:tc>
          <w:tcPr>
            <w:tcW w:w="3700" w:type="dxa"/>
            <w:shd w:val="clear" w:color="auto" w:fill="BFBFBF" w:themeFill="background1" w:themeFillShade="BF"/>
          </w:tcPr>
          <w:p w:rsidR="009C5C03" w:rsidRDefault="009C5C03" w:rsidP="00571F84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34  </w:t>
            </w:r>
          </w:p>
        </w:tc>
        <w:tc>
          <w:tcPr>
            <w:tcW w:w="3701" w:type="dxa"/>
          </w:tcPr>
          <w:p w:rsidR="009C5C03" w:rsidRPr="0095718B" w:rsidRDefault="009C5C03" w:rsidP="00571F84">
            <w:pPr>
              <w:jc w:val="center"/>
            </w:pPr>
            <w:r>
              <w:t xml:space="preserve">44  </w:t>
            </w:r>
            <w:bookmarkStart w:id="0" w:name="_GoBack"/>
            <w:bookmarkEnd w:id="0"/>
          </w:p>
        </w:tc>
      </w:tr>
    </w:tbl>
    <w:p w:rsidR="009C5C03" w:rsidRDefault="009C5C03" w:rsidP="009C5C03">
      <w:pPr>
        <w:rPr>
          <w:b/>
        </w:rPr>
      </w:pPr>
    </w:p>
    <w:p w:rsidR="00B64987" w:rsidRPr="00B64987" w:rsidRDefault="00B64987" w:rsidP="00B649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3866B7" w:rsidRPr="00B64987" w:rsidRDefault="009C5C03" w:rsidP="00B64987">
      <w:pPr>
        <w:rPr>
          <w:rFonts w:ascii="Comic Sans MS" w:hAnsi="Comic Sans MS"/>
        </w:rPr>
      </w:pPr>
      <w:r>
        <w:rPr>
          <w:rFonts w:ascii="Comic Sans MS" w:hAnsi="Comic Sans MS" w:cs="ComicSansMS-Bold"/>
          <w:b/>
          <w:bCs/>
          <w:sz w:val="24"/>
          <w:szCs w:val="24"/>
        </w:rPr>
        <w:t>JA Jenkins, July 2017</w:t>
      </w:r>
    </w:p>
    <w:sectPr w:rsidR="003866B7" w:rsidRPr="00B64987" w:rsidSect="00F51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3FE"/>
    <w:multiLevelType w:val="hybridMultilevel"/>
    <w:tmpl w:val="A406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5527B"/>
    <w:multiLevelType w:val="hybridMultilevel"/>
    <w:tmpl w:val="219E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73A7"/>
    <w:multiLevelType w:val="hybridMultilevel"/>
    <w:tmpl w:val="67EE91DC"/>
    <w:lvl w:ilvl="0" w:tplc="4CDAB2F8">
      <w:numFmt w:val="bullet"/>
      <w:lvlText w:val=""/>
      <w:lvlJc w:val="left"/>
      <w:pPr>
        <w:ind w:left="720" w:hanging="360"/>
      </w:pPr>
      <w:rPr>
        <w:rFonts w:ascii="Comic Sans MS" w:eastAsia="SymbolMT" w:hAnsi="Comic Sans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4987"/>
    <w:rsid w:val="00217D7B"/>
    <w:rsid w:val="00312E89"/>
    <w:rsid w:val="003866B7"/>
    <w:rsid w:val="0066556A"/>
    <w:rsid w:val="00700C34"/>
    <w:rsid w:val="00716340"/>
    <w:rsid w:val="009C5C03"/>
    <w:rsid w:val="00B64987"/>
    <w:rsid w:val="00B64996"/>
    <w:rsid w:val="00F5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87"/>
    <w:pPr>
      <w:ind w:left="720"/>
      <w:contextualSpacing/>
    </w:pPr>
  </w:style>
  <w:style w:type="table" w:styleId="TableGrid">
    <w:name w:val="Table Grid"/>
    <w:basedOn w:val="TableNormal"/>
    <w:uiPriority w:val="59"/>
    <w:rsid w:val="00B6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87"/>
    <w:pPr>
      <w:ind w:left="720"/>
      <w:contextualSpacing/>
    </w:pPr>
  </w:style>
  <w:style w:type="table" w:styleId="TableGrid">
    <w:name w:val="Table Grid"/>
    <w:basedOn w:val="TableNormal"/>
    <w:uiPriority w:val="59"/>
    <w:rsid w:val="00B6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Joyce</dc:creator>
  <cp:lastModifiedBy>Charlotte</cp:lastModifiedBy>
  <cp:revision>2</cp:revision>
  <dcterms:created xsi:type="dcterms:W3CDTF">2017-10-27T19:45:00Z</dcterms:created>
  <dcterms:modified xsi:type="dcterms:W3CDTF">2017-10-27T19:45:00Z</dcterms:modified>
</cp:coreProperties>
</file>